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B1C925">
      <w:pPr>
        <w:spacing w:after="0"/>
      </w:pPr>
    </w:p>
    <w:p w14:paraId="002F800B">
      <w:pPr>
        <w:spacing w:after="0"/>
      </w:pPr>
    </w:p>
    <w:p w14:paraId="254B3D4B">
      <w:pPr>
        <w:spacing w:after="0"/>
      </w:pPr>
    </w:p>
    <w:p w14:paraId="361F905C">
      <w:pPr>
        <w:spacing w:after="0"/>
      </w:pPr>
    </w:p>
    <w:p w14:paraId="1659A01E">
      <w:pPr>
        <w:spacing w:after="0"/>
      </w:pPr>
    </w:p>
    <w:p w14:paraId="17F513EC">
      <w:pPr>
        <w:spacing w:after="0"/>
      </w:pPr>
    </w:p>
    <w:p w14:paraId="5569908B">
      <w:pPr>
        <w:spacing w:after="200"/>
        <w:jc w:val="center"/>
      </w:pPr>
      <w:r>
        <w:rPr>
          <w:rFonts w:ascii="黑体" w:hAnsi="黑体" w:eastAsia="黑体" w:cs="黑体"/>
          <w:b/>
          <w:bCs/>
          <w:color w:val="1F4E79"/>
          <w:sz w:val="36"/>
          <w:szCs w:val="36"/>
        </w:rPr>
        <w:t>屯堡文化数字化传承与旅游活化</w:t>
      </w:r>
    </w:p>
    <w:p w14:paraId="2C95DF37">
      <w:pPr>
        <w:spacing w:after="0"/>
      </w:pPr>
    </w:p>
    <w:p w14:paraId="15D574A4">
      <w:pPr>
        <w:spacing w:after="120"/>
        <w:jc w:val="center"/>
      </w:pPr>
      <w:r>
        <w:rPr>
          <w:rFonts w:ascii="宋体" w:hAnsi="宋体" w:eastAsia="宋体" w:cs="宋体"/>
          <w:sz w:val="32"/>
          <w:szCs w:val="32"/>
        </w:rPr>
        <w:t>祝刚  著</w:t>
      </w:r>
    </w:p>
    <w:p w14:paraId="0E771880">
      <w:pPr>
        <w:spacing w:after="120"/>
        <w:jc w:val="center"/>
      </w:pPr>
      <w:r>
        <w:rPr>
          <w:rFonts w:ascii="宋体" w:hAnsi="宋体" w:eastAsia="宋体" w:cs="宋体"/>
          <w:sz w:val="28"/>
          <w:szCs w:val="28"/>
        </w:rPr>
        <w:t>安顺学院旅游管理学院</w:t>
      </w:r>
    </w:p>
    <w:p w14:paraId="07EEC1B9">
      <w:pPr>
        <w:spacing w:after="0"/>
      </w:pPr>
    </w:p>
    <w:p w14:paraId="63762EDD">
      <w:pPr>
        <w:spacing w:after="120"/>
        <w:jc w:val="center"/>
      </w:pPr>
      <w:r>
        <w:rPr>
          <w:rFonts w:ascii="宋体" w:hAnsi="宋体" w:eastAsia="宋体" w:cs="宋体"/>
          <w:color w:val="666666"/>
          <w:sz w:val="24"/>
          <w:szCs w:val="24"/>
        </w:rPr>
        <w:t>数字文旅专业系列教材</w:t>
      </w:r>
    </w:p>
    <w:p w14:paraId="30820F10">
      <w:r>
        <w:br w:type="page"/>
      </w:r>
    </w:p>
    <w:p w14:paraId="414BCF91">
      <w:pPr>
        <w:pStyle w:val="2"/>
        <w:spacing w:after="300"/>
      </w:pPr>
      <w:bookmarkStart w:id="0" w:name="_Toc26575"/>
      <w:r>
        <w:rPr>
          <w:rFonts w:ascii="黑体" w:hAnsi="黑体" w:eastAsia="黑体" w:cs="黑体"/>
          <w:b/>
          <w:bCs/>
          <w:color w:val="1F4E79"/>
          <w:sz w:val="32"/>
          <w:szCs w:val="32"/>
        </w:rPr>
        <w:t>目  录</w:t>
      </w:r>
      <w:bookmarkEnd w:id="0"/>
    </w:p>
    <w:sdt>
      <w:sdtPr>
        <w:rPr>
          <w:rFonts w:ascii="宋体" w:hAnsi="宋体" w:eastAsia="宋体" w:cs="宋体"/>
          <w:sz w:val="21"/>
          <w:szCs w:val="24"/>
        </w:rPr>
        <w:id w:val="147465657"/>
        <w15:color w:val="DBDBDB"/>
        <w:docPartObj>
          <w:docPartGallery w:val="Table of Contents"/>
          <w:docPartUnique/>
        </w:docPartObj>
      </w:sdtPr>
      <w:sdtContent>
        <w:p w14:paraId="242E5E8E">
          <w:pPr>
            <w:spacing w:before="0" w:beforeLines="0" w:after="0" w:afterLines="0" w:line="240" w:lineRule="auto"/>
            <w:ind w:left="0" w:leftChars="0" w:right="0" w:rightChars="0" w:firstLine="0" w:firstLineChars="0"/>
            <w:jc w:val="center"/>
          </w:pPr>
          <w:r>
            <w:rPr>
              <w:rFonts w:ascii="宋体" w:hAnsi="宋体" w:eastAsia="宋体"/>
              <w:sz w:val="21"/>
            </w:rPr>
            <w:t>目录</w:t>
          </w:r>
        </w:p>
        <w:p w14:paraId="35047C0E">
          <w:pPr>
            <w:pStyle w:val="10"/>
            <w:tabs>
              <w:tab w:val="right" w:leader="dot" w:pos="9026"/>
            </w:tabs>
          </w:pPr>
          <w:r>
            <w:fldChar w:fldCharType="begin"/>
          </w:r>
          <w:r>
            <w:instrText xml:space="preserve">TOC \o "1-3" \h \u </w:instrText>
          </w:r>
          <w:r>
            <w:fldChar w:fldCharType="separate"/>
          </w:r>
          <w:r>
            <w:fldChar w:fldCharType="begin"/>
          </w:r>
          <w:r>
            <w:instrText xml:space="preserve"> HYPERLINK \l _Toc26575 </w:instrText>
          </w:r>
          <w:r>
            <w:fldChar w:fldCharType="separate"/>
          </w:r>
          <w:r>
            <w:rPr>
              <w:rFonts w:ascii="黑体" w:hAnsi="黑体" w:eastAsia="黑体" w:cs="黑体"/>
              <w:bCs/>
              <w:szCs w:val="32"/>
            </w:rPr>
            <w:t>目  录</w:t>
          </w:r>
          <w:r>
            <w:tab/>
          </w:r>
          <w:r>
            <w:fldChar w:fldCharType="begin"/>
          </w:r>
          <w:r>
            <w:instrText xml:space="preserve"> PAGEREF _Toc26575 \h </w:instrText>
          </w:r>
          <w:r>
            <w:fldChar w:fldCharType="separate"/>
          </w:r>
          <w:r>
            <w:t>2</w:t>
          </w:r>
          <w:r>
            <w:fldChar w:fldCharType="end"/>
          </w:r>
          <w:r>
            <w:fldChar w:fldCharType="end"/>
          </w:r>
        </w:p>
        <w:p w14:paraId="2B57F095">
          <w:pPr>
            <w:pStyle w:val="10"/>
            <w:tabs>
              <w:tab w:val="right" w:leader="dot" w:pos="9026"/>
            </w:tabs>
          </w:pPr>
          <w:r>
            <w:fldChar w:fldCharType="begin"/>
          </w:r>
          <w:r>
            <w:instrText xml:space="preserve"> HYPERLINK \l _Toc11352 </w:instrText>
          </w:r>
          <w:r>
            <w:fldChar w:fldCharType="separate"/>
          </w:r>
          <w:r>
            <w:rPr>
              <w:rFonts w:ascii="黑体" w:hAnsi="黑体" w:eastAsia="黑体" w:cs="黑体"/>
              <w:bCs/>
              <w:szCs w:val="32"/>
            </w:rPr>
            <w:t>第 1 章  屯堡文化概述</w:t>
          </w:r>
          <w:r>
            <w:tab/>
          </w:r>
          <w:r>
            <w:fldChar w:fldCharType="begin"/>
          </w:r>
          <w:r>
            <w:instrText xml:space="preserve"> PAGEREF _Toc11352 \h </w:instrText>
          </w:r>
          <w:r>
            <w:fldChar w:fldCharType="separate"/>
          </w:r>
          <w:r>
            <w:t>12</w:t>
          </w:r>
          <w:r>
            <w:fldChar w:fldCharType="end"/>
          </w:r>
          <w:r>
            <w:fldChar w:fldCharType="end"/>
          </w:r>
        </w:p>
        <w:p w14:paraId="1E34901C">
          <w:pPr>
            <w:pStyle w:val="12"/>
            <w:tabs>
              <w:tab w:val="right" w:leader="dot" w:pos="9026"/>
            </w:tabs>
          </w:pPr>
          <w:r>
            <w:fldChar w:fldCharType="begin"/>
          </w:r>
          <w:r>
            <w:instrText xml:space="preserve"> HYPERLINK \l _Toc4271 </w:instrText>
          </w:r>
          <w:r>
            <w:fldChar w:fldCharType="separate"/>
          </w:r>
          <w:r>
            <w:rPr>
              <w:rFonts w:ascii="黑体" w:hAnsi="黑体" w:eastAsia="黑体" w:cs="黑体"/>
              <w:bCs/>
              <w:szCs w:val="28"/>
            </w:rPr>
            <w:t>学习目标</w:t>
          </w:r>
          <w:r>
            <w:tab/>
          </w:r>
          <w:r>
            <w:fldChar w:fldCharType="begin"/>
          </w:r>
          <w:r>
            <w:instrText xml:space="preserve"> PAGEREF _Toc4271 \h </w:instrText>
          </w:r>
          <w:r>
            <w:fldChar w:fldCharType="separate"/>
          </w:r>
          <w:r>
            <w:t>12</w:t>
          </w:r>
          <w:r>
            <w:fldChar w:fldCharType="end"/>
          </w:r>
          <w:r>
            <w:fldChar w:fldCharType="end"/>
          </w:r>
        </w:p>
        <w:p w14:paraId="647C0619">
          <w:pPr>
            <w:pStyle w:val="12"/>
            <w:tabs>
              <w:tab w:val="right" w:leader="dot" w:pos="9026"/>
            </w:tabs>
          </w:pPr>
          <w:r>
            <w:fldChar w:fldCharType="begin"/>
          </w:r>
          <w:r>
            <w:instrText xml:space="preserve"> HYPERLINK \l _Toc12291 </w:instrText>
          </w:r>
          <w:r>
            <w:fldChar w:fldCharType="separate"/>
          </w:r>
          <w:r>
            <w:rPr>
              <w:rFonts w:ascii="黑体" w:hAnsi="黑体" w:eastAsia="黑体" w:cs="黑体"/>
              <w:bCs/>
              <w:szCs w:val="28"/>
            </w:rPr>
            <w:t>导入案例：六百年不变的村庄</w:t>
          </w:r>
          <w:r>
            <w:tab/>
          </w:r>
          <w:r>
            <w:fldChar w:fldCharType="begin"/>
          </w:r>
          <w:r>
            <w:instrText xml:space="preserve"> PAGEREF _Toc12291 \h </w:instrText>
          </w:r>
          <w:r>
            <w:fldChar w:fldCharType="separate"/>
          </w:r>
          <w:r>
            <w:t>12</w:t>
          </w:r>
          <w:r>
            <w:fldChar w:fldCharType="end"/>
          </w:r>
          <w:r>
            <w:fldChar w:fldCharType="end"/>
          </w:r>
        </w:p>
        <w:p w14:paraId="14248EE0">
          <w:pPr>
            <w:pStyle w:val="12"/>
            <w:tabs>
              <w:tab w:val="right" w:leader="dot" w:pos="9026"/>
            </w:tabs>
          </w:pPr>
          <w:r>
            <w:fldChar w:fldCharType="begin"/>
          </w:r>
          <w:r>
            <w:instrText xml:space="preserve"> HYPERLINK \l _Toc1648 </w:instrText>
          </w:r>
          <w:r>
            <w:fldChar w:fldCharType="separate"/>
          </w:r>
          <w:r>
            <w:rPr>
              <w:rFonts w:ascii="黑体" w:hAnsi="黑体" w:eastAsia="黑体" w:cs="黑体"/>
              <w:bCs/>
              <w:szCs w:val="28"/>
            </w:rPr>
            <w:t>1.1 屯堡文化的定义与内涵</w:t>
          </w:r>
          <w:r>
            <w:tab/>
          </w:r>
          <w:r>
            <w:fldChar w:fldCharType="begin"/>
          </w:r>
          <w:r>
            <w:instrText xml:space="preserve"> PAGEREF _Toc1648 \h </w:instrText>
          </w:r>
          <w:r>
            <w:fldChar w:fldCharType="separate"/>
          </w:r>
          <w:r>
            <w:t>12</w:t>
          </w:r>
          <w:r>
            <w:fldChar w:fldCharType="end"/>
          </w:r>
          <w:r>
            <w:fldChar w:fldCharType="end"/>
          </w:r>
        </w:p>
        <w:p w14:paraId="0D686368">
          <w:pPr>
            <w:pStyle w:val="8"/>
            <w:tabs>
              <w:tab w:val="right" w:leader="dot" w:pos="9026"/>
            </w:tabs>
          </w:pPr>
          <w:r>
            <w:fldChar w:fldCharType="begin"/>
          </w:r>
          <w:r>
            <w:instrText xml:space="preserve"> HYPERLINK \l _Toc22940 </w:instrText>
          </w:r>
          <w:r>
            <w:fldChar w:fldCharType="separate"/>
          </w:r>
          <w:r>
            <w:rPr>
              <w:rFonts w:ascii="黑体" w:hAnsi="黑体" w:eastAsia="黑体" w:cs="黑体"/>
              <w:bCs/>
              <w:szCs w:val="26"/>
            </w:rPr>
            <w:t>1.1.1 什么是屯堡</w:t>
          </w:r>
          <w:r>
            <w:tab/>
          </w:r>
          <w:r>
            <w:fldChar w:fldCharType="begin"/>
          </w:r>
          <w:r>
            <w:instrText xml:space="preserve"> PAGEREF _Toc22940 \h </w:instrText>
          </w:r>
          <w:r>
            <w:fldChar w:fldCharType="separate"/>
          </w:r>
          <w:r>
            <w:t>12</w:t>
          </w:r>
          <w:r>
            <w:fldChar w:fldCharType="end"/>
          </w:r>
          <w:r>
            <w:fldChar w:fldCharType="end"/>
          </w:r>
        </w:p>
        <w:p w14:paraId="62E3F719">
          <w:pPr>
            <w:pStyle w:val="8"/>
            <w:tabs>
              <w:tab w:val="right" w:leader="dot" w:pos="9026"/>
            </w:tabs>
          </w:pPr>
          <w:r>
            <w:fldChar w:fldCharType="begin"/>
          </w:r>
          <w:r>
            <w:instrText xml:space="preserve"> HYPERLINK \l _Toc16812 </w:instrText>
          </w:r>
          <w:r>
            <w:fldChar w:fldCharType="separate"/>
          </w:r>
          <w:r>
            <w:rPr>
              <w:rFonts w:ascii="黑体" w:hAnsi="黑体" w:eastAsia="黑体" w:cs="黑体"/>
              <w:bCs/>
              <w:szCs w:val="26"/>
            </w:rPr>
            <w:t>1.1.2 屯堡文化的核心特征</w:t>
          </w:r>
          <w:r>
            <w:tab/>
          </w:r>
          <w:r>
            <w:fldChar w:fldCharType="begin"/>
          </w:r>
          <w:r>
            <w:instrText xml:space="preserve"> PAGEREF _Toc16812 \h </w:instrText>
          </w:r>
          <w:r>
            <w:fldChar w:fldCharType="separate"/>
          </w:r>
          <w:r>
            <w:t>13</w:t>
          </w:r>
          <w:r>
            <w:fldChar w:fldCharType="end"/>
          </w:r>
          <w:r>
            <w:fldChar w:fldCharType="end"/>
          </w:r>
        </w:p>
        <w:p w14:paraId="31905D9C">
          <w:pPr>
            <w:pStyle w:val="8"/>
            <w:tabs>
              <w:tab w:val="right" w:leader="dot" w:pos="9026"/>
            </w:tabs>
          </w:pPr>
          <w:r>
            <w:fldChar w:fldCharType="begin"/>
          </w:r>
          <w:r>
            <w:instrText xml:space="preserve"> HYPERLINK \l _Toc30195 </w:instrText>
          </w:r>
          <w:r>
            <w:fldChar w:fldCharType="separate"/>
          </w:r>
          <w:r>
            <w:rPr>
              <w:rFonts w:ascii="黑体" w:hAnsi="黑体" w:eastAsia="黑体" w:cs="黑体"/>
              <w:bCs/>
              <w:szCs w:val="26"/>
            </w:rPr>
            <w:t>1.1.3 屯堡文化的学术定位</w:t>
          </w:r>
          <w:r>
            <w:tab/>
          </w:r>
          <w:r>
            <w:fldChar w:fldCharType="begin"/>
          </w:r>
          <w:r>
            <w:instrText xml:space="preserve"> PAGEREF _Toc30195 \h </w:instrText>
          </w:r>
          <w:r>
            <w:fldChar w:fldCharType="separate"/>
          </w:r>
          <w:r>
            <w:t>13</w:t>
          </w:r>
          <w:r>
            <w:fldChar w:fldCharType="end"/>
          </w:r>
          <w:r>
            <w:fldChar w:fldCharType="end"/>
          </w:r>
        </w:p>
        <w:p w14:paraId="464F3C14">
          <w:pPr>
            <w:pStyle w:val="12"/>
            <w:tabs>
              <w:tab w:val="right" w:leader="dot" w:pos="9026"/>
            </w:tabs>
          </w:pPr>
          <w:r>
            <w:fldChar w:fldCharType="begin"/>
          </w:r>
          <w:r>
            <w:instrText xml:space="preserve"> HYPERLINK \l _Toc8231 </w:instrText>
          </w:r>
          <w:r>
            <w:fldChar w:fldCharType="separate"/>
          </w:r>
          <w:r>
            <w:rPr>
              <w:rFonts w:ascii="黑体" w:hAnsi="黑体" w:eastAsia="黑体" w:cs="黑体"/>
              <w:bCs/>
              <w:szCs w:val="28"/>
            </w:rPr>
            <w:t>1.2 屯堡文化的历史背景</w:t>
          </w:r>
          <w:r>
            <w:tab/>
          </w:r>
          <w:r>
            <w:fldChar w:fldCharType="begin"/>
          </w:r>
          <w:r>
            <w:instrText xml:space="preserve"> PAGEREF _Toc8231 \h </w:instrText>
          </w:r>
          <w:r>
            <w:fldChar w:fldCharType="separate"/>
          </w:r>
          <w:r>
            <w:t>14</w:t>
          </w:r>
          <w:r>
            <w:fldChar w:fldCharType="end"/>
          </w:r>
          <w:r>
            <w:fldChar w:fldCharType="end"/>
          </w:r>
        </w:p>
        <w:p w14:paraId="64B2819C">
          <w:pPr>
            <w:pStyle w:val="8"/>
            <w:tabs>
              <w:tab w:val="right" w:leader="dot" w:pos="9026"/>
            </w:tabs>
          </w:pPr>
          <w:r>
            <w:fldChar w:fldCharType="begin"/>
          </w:r>
          <w:r>
            <w:instrText xml:space="preserve"> HYPERLINK \l _Toc26406 </w:instrText>
          </w:r>
          <w:r>
            <w:fldChar w:fldCharType="separate"/>
          </w:r>
          <w:r>
            <w:rPr>
              <w:rFonts w:ascii="黑体" w:hAnsi="黑体" w:eastAsia="黑体" w:cs="黑体"/>
              <w:bCs/>
              <w:szCs w:val="26"/>
            </w:rPr>
            <w:t>1.2.1 "调北征南"与明初西南经略</w:t>
          </w:r>
          <w:r>
            <w:tab/>
          </w:r>
          <w:r>
            <w:fldChar w:fldCharType="begin"/>
          </w:r>
          <w:r>
            <w:instrText xml:space="preserve"> PAGEREF _Toc26406 \h </w:instrText>
          </w:r>
          <w:r>
            <w:fldChar w:fldCharType="separate"/>
          </w:r>
          <w:r>
            <w:t>14</w:t>
          </w:r>
          <w:r>
            <w:fldChar w:fldCharType="end"/>
          </w:r>
          <w:r>
            <w:fldChar w:fldCharType="end"/>
          </w:r>
        </w:p>
        <w:p w14:paraId="4B96EE56">
          <w:pPr>
            <w:pStyle w:val="8"/>
            <w:tabs>
              <w:tab w:val="right" w:leader="dot" w:pos="9026"/>
            </w:tabs>
          </w:pPr>
          <w:r>
            <w:fldChar w:fldCharType="begin"/>
          </w:r>
          <w:r>
            <w:instrText xml:space="preserve"> HYPERLINK \l _Toc12613 </w:instrText>
          </w:r>
          <w:r>
            <w:fldChar w:fldCharType="separate"/>
          </w:r>
          <w:r>
            <w:rPr>
              <w:rFonts w:ascii="黑体" w:hAnsi="黑体" w:eastAsia="黑体" w:cs="黑体"/>
              <w:bCs/>
              <w:szCs w:val="26"/>
            </w:rPr>
            <w:t>1.2.2 卫所制度与屯堡体系的建立</w:t>
          </w:r>
          <w:r>
            <w:tab/>
          </w:r>
          <w:r>
            <w:fldChar w:fldCharType="begin"/>
          </w:r>
          <w:r>
            <w:instrText xml:space="preserve"> PAGEREF _Toc12613 \h </w:instrText>
          </w:r>
          <w:r>
            <w:fldChar w:fldCharType="separate"/>
          </w:r>
          <w:r>
            <w:t>14</w:t>
          </w:r>
          <w:r>
            <w:fldChar w:fldCharType="end"/>
          </w:r>
          <w:r>
            <w:fldChar w:fldCharType="end"/>
          </w:r>
        </w:p>
        <w:p w14:paraId="19109DE1">
          <w:pPr>
            <w:pStyle w:val="8"/>
            <w:tabs>
              <w:tab w:val="right" w:leader="dot" w:pos="9026"/>
            </w:tabs>
          </w:pPr>
          <w:r>
            <w:fldChar w:fldCharType="begin"/>
          </w:r>
          <w:r>
            <w:instrText xml:space="preserve"> HYPERLINK \l _Toc26045 </w:instrText>
          </w:r>
          <w:r>
            <w:fldChar w:fldCharType="separate"/>
          </w:r>
          <w:r>
            <w:rPr>
              <w:rFonts w:ascii="黑体" w:hAnsi="黑体" w:eastAsia="黑体" w:cs="黑体"/>
              <w:bCs/>
              <w:szCs w:val="26"/>
            </w:rPr>
            <w:t>1.2.3 "屯堡"之名的演变</w:t>
          </w:r>
          <w:r>
            <w:tab/>
          </w:r>
          <w:r>
            <w:fldChar w:fldCharType="begin"/>
          </w:r>
          <w:r>
            <w:instrText xml:space="preserve"> PAGEREF _Toc26045 \h </w:instrText>
          </w:r>
          <w:r>
            <w:fldChar w:fldCharType="separate"/>
          </w:r>
          <w:r>
            <w:t>14</w:t>
          </w:r>
          <w:r>
            <w:fldChar w:fldCharType="end"/>
          </w:r>
          <w:r>
            <w:fldChar w:fldCharType="end"/>
          </w:r>
        </w:p>
        <w:p w14:paraId="038A6897">
          <w:pPr>
            <w:pStyle w:val="12"/>
            <w:tabs>
              <w:tab w:val="right" w:leader="dot" w:pos="9026"/>
            </w:tabs>
          </w:pPr>
          <w:r>
            <w:fldChar w:fldCharType="begin"/>
          </w:r>
          <w:r>
            <w:instrText xml:space="preserve"> HYPERLINK \l _Toc32583 </w:instrText>
          </w:r>
          <w:r>
            <w:fldChar w:fldCharType="separate"/>
          </w:r>
          <w:r>
            <w:rPr>
              <w:rFonts w:ascii="黑体" w:hAnsi="黑体" w:eastAsia="黑体" w:cs="黑体"/>
              <w:bCs/>
              <w:szCs w:val="28"/>
            </w:rPr>
            <w:t>1.3 屯堡文化的地理分布</w:t>
          </w:r>
          <w:r>
            <w:tab/>
          </w:r>
          <w:r>
            <w:fldChar w:fldCharType="begin"/>
          </w:r>
          <w:r>
            <w:instrText xml:space="preserve"> PAGEREF _Toc32583 \h </w:instrText>
          </w:r>
          <w:r>
            <w:fldChar w:fldCharType="separate"/>
          </w:r>
          <w:r>
            <w:t>15</w:t>
          </w:r>
          <w:r>
            <w:fldChar w:fldCharType="end"/>
          </w:r>
          <w:r>
            <w:fldChar w:fldCharType="end"/>
          </w:r>
        </w:p>
        <w:p w14:paraId="0E392238">
          <w:pPr>
            <w:pStyle w:val="8"/>
            <w:tabs>
              <w:tab w:val="right" w:leader="dot" w:pos="9026"/>
            </w:tabs>
          </w:pPr>
          <w:r>
            <w:fldChar w:fldCharType="begin"/>
          </w:r>
          <w:r>
            <w:instrText xml:space="preserve"> HYPERLINK \l _Toc32649 </w:instrText>
          </w:r>
          <w:r>
            <w:fldChar w:fldCharType="separate"/>
          </w:r>
          <w:r>
            <w:rPr>
              <w:rFonts w:ascii="黑体" w:hAnsi="黑体" w:eastAsia="黑体" w:cs="黑体"/>
              <w:bCs/>
              <w:szCs w:val="26"/>
            </w:rPr>
            <w:t>1.3.1 黔中屯堡文化圈</w:t>
          </w:r>
          <w:r>
            <w:tab/>
          </w:r>
          <w:r>
            <w:fldChar w:fldCharType="begin"/>
          </w:r>
          <w:r>
            <w:instrText xml:space="preserve"> PAGEREF _Toc32649 \h </w:instrText>
          </w:r>
          <w:r>
            <w:fldChar w:fldCharType="separate"/>
          </w:r>
          <w:r>
            <w:t>15</w:t>
          </w:r>
          <w:r>
            <w:fldChar w:fldCharType="end"/>
          </w:r>
          <w:r>
            <w:fldChar w:fldCharType="end"/>
          </w:r>
        </w:p>
        <w:p w14:paraId="09739C40">
          <w:pPr>
            <w:pStyle w:val="8"/>
            <w:tabs>
              <w:tab w:val="right" w:leader="dot" w:pos="9026"/>
            </w:tabs>
          </w:pPr>
          <w:r>
            <w:fldChar w:fldCharType="begin"/>
          </w:r>
          <w:r>
            <w:instrText xml:space="preserve"> HYPERLINK \l _Toc792 </w:instrText>
          </w:r>
          <w:r>
            <w:fldChar w:fldCharType="separate"/>
          </w:r>
          <w:r>
            <w:rPr>
              <w:rFonts w:ascii="黑体" w:hAnsi="黑体" w:eastAsia="黑体" w:cs="黑体"/>
              <w:bCs/>
              <w:szCs w:val="26"/>
            </w:rPr>
            <w:t>1.3.2 代表性屯堡村寨</w:t>
          </w:r>
          <w:r>
            <w:tab/>
          </w:r>
          <w:r>
            <w:fldChar w:fldCharType="begin"/>
          </w:r>
          <w:r>
            <w:instrText xml:space="preserve"> PAGEREF _Toc792 \h </w:instrText>
          </w:r>
          <w:r>
            <w:fldChar w:fldCharType="separate"/>
          </w:r>
          <w:r>
            <w:t>15</w:t>
          </w:r>
          <w:r>
            <w:fldChar w:fldCharType="end"/>
          </w:r>
          <w:r>
            <w:fldChar w:fldCharType="end"/>
          </w:r>
        </w:p>
        <w:p w14:paraId="08951770">
          <w:pPr>
            <w:pStyle w:val="8"/>
            <w:tabs>
              <w:tab w:val="right" w:leader="dot" w:pos="9026"/>
            </w:tabs>
          </w:pPr>
          <w:r>
            <w:fldChar w:fldCharType="begin"/>
          </w:r>
          <w:r>
            <w:instrText xml:space="preserve"> HYPERLINK \l _Toc27287 </w:instrText>
          </w:r>
          <w:r>
            <w:fldChar w:fldCharType="separate"/>
          </w:r>
          <w:r>
            <w:rPr>
              <w:rFonts w:ascii="黑体" w:hAnsi="黑体" w:eastAsia="黑体" w:cs="黑体"/>
              <w:bCs/>
              <w:szCs w:val="26"/>
            </w:rPr>
            <w:t>1.3.3 屯堡村寨的空间格局</w:t>
          </w:r>
          <w:r>
            <w:tab/>
          </w:r>
          <w:r>
            <w:fldChar w:fldCharType="begin"/>
          </w:r>
          <w:r>
            <w:instrText xml:space="preserve"> PAGEREF _Toc27287 \h </w:instrText>
          </w:r>
          <w:r>
            <w:fldChar w:fldCharType="separate"/>
          </w:r>
          <w:r>
            <w:t>16</w:t>
          </w:r>
          <w:r>
            <w:fldChar w:fldCharType="end"/>
          </w:r>
          <w:r>
            <w:fldChar w:fldCharType="end"/>
          </w:r>
        </w:p>
        <w:p w14:paraId="54BE685C">
          <w:pPr>
            <w:pStyle w:val="12"/>
            <w:tabs>
              <w:tab w:val="right" w:leader="dot" w:pos="9026"/>
            </w:tabs>
          </w:pPr>
          <w:r>
            <w:fldChar w:fldCharType="begin"/>
          </w:r>
          <w:r>
            <w:instrText xml:space="preserve"> HYPERLINK \l _Toc8193 </w:instrText>
          </w:r>
          <w:r>
            <w:fldChar w:fldCharType="separate"/>
          </w:r>
          <w:r>
            <w:rPr>
              <w:rFonts w:ascii="黑体" w:hAnsi="黑体" w:eastAsia="黑体" w:cs="黑体"/>
              <w:bCs/>
              <w:szCs w:val="28"/>
            </w:rPr>
            <w:t>1.4 屯堡文化的历史地位</w:t>
          </w:r>
          <w:r>
            <w:tab/>
          </w:r>
          <w:r>
            <w:fldChar w:fldCharType="begin"/>
          </w:r>
          <w:r>
            <w:instrText xml:space="preserve"> PAGEREF _Toc8193 \h </w:instrText>
          </w:r>
          <w:r>
            <w:fldChar w:fldCharType="separate"/>
          </w:r>
          <w:r>
            <w:t>16</w:t>
          </w:r>
          <w:r>
            <w:fldChar w:fldCharType="end"/>
          </w:r>
          <w:r>
            <w:fldChar w:fldCharType="end"/>
          </w:r>
        </w:p>
        <w:p w14:paraId="03DC9130">
          <w:pPr>
            <w:pStyle w:val="8"/>
            <w:tabs>
              <w:tab w:val="right" w:leader="dot" w:pos="9026"/>
            </w:tabs>
          </w:pPr>
          <w:r>
            <w:fldChar w:fldCharType="begin"/>
          </w:r>
          <w:r>
            <w:instrText xml:space="preserve"> HYPERLINK \l _Toc13506 </w:instrText>
          </w:r>
          <w:r>
            <w:fldChar w:fldCharType="separate"/>
          </w:r>
          <w:r>
            <w:rPr>
              <w:rFonts w:ascii="黑体" w:hAnsi="黑体" w:eastAsia="黑体" w:cs="黑体"/>
              <w:bCs/>
              <w:szCs w:val="26"/>
            </w:rPr>
            <w:t>1.4.1 贵州"四大文化工程"之一</w:t>
          </w:r>
          <w:r>
            <w:tab/>
          </w:r>
          <w:r>
            <w:fldChar w:fldCharType="begin"/>
          </w:r>
          <w:r>
            <w:instrText xml:space="preserve"> PAGEREF _Toc13506 \h </w:instrText>
          </w:r>
          <w:r>
            <w:fldChar w:fldCharType="separate"/>
          </w:r>
          <w:r>
            <w:t>16</w:t>
          </w:r>
          <w:r>
            <w:fldChar w:fldCharType="end"/>
          </w:r>
          <w:r>
            <w:fldChar w:fldCharType="end"/>
          </w:r>
        </w:p>
        <w:p w14:paraId="20392C71">
          <w:pPr>
            <w:pStyle w:val="8"/>
            <w:tabs>
              <w:tab w:val="right" w:leader="dot" w:pos="9026"/>
            </w:tabs>
          </w:pPr>
          <w:r>
            <w:fldChar w:fldCharType="begin"/>
          </w:r>
          <w:r>
            <w:instrText xml:space="preserve"> HYPERLINK \l _Toc11640 </w:instrText>
          </w:r>
          <w:r>
            <w:fldChar w:fldCharType="separate"/>
          </w:r>
          <w:r>
            <w:rPr>
              <w:rFonts w:ascii="黑体" w:hAnsi="黑体" w:eastAsia="黑体" w:cs="黑体"/>
              <w:bCs/>
              <w:szCs w:val="26"/>
            </w:rPr>
            <w:t>1.4.2 "明代活化石"的学术价值</w:t>
          </w:r>
          <w:r>
            <w:tab/>
          </w:r>
          <w:r>
            <w:fldChar w:fldCharType="begin"/>
          </w:r>
          <w:r>
            <w:instrText xml:space="preserve"> PAGEREF _Toc11640 \h </w:instrText>
          </w:r>
          <w:r>
            <w:fldChar w:fldCharType="separate"/>
          </w:r>
          <w:r>
            <w:t>16</w:t>
          </w:r>
          <w:r>
            <w:fldChar w:fldCharType="end"/>
          </w:r>
          <w:r>
            <w:fldChar w:fldCharType="end"/>
          </w:r>
        </w:p>
        <w:p w14:paraId="154D7F61">
          <w:pPr>
            <w:pStyle w:val="8"/>
            <w:tabs>
              <w:tab w:val="right" w:leader="dot" w:pos="9026"/>
            </w:tabs>
          </w:pPr>
          <w:r>
            <w:fldChar w:fldCharType="begin"/>
          </w:r>
          <w:r>
            <w:instrText xml:space="preserve"> HYPERLINK \l _Toc23703 </w:instrText>
          </w:r>
          <w:r>
            <w:fldChar w:fldCharType="separate"/>
          </w:r>
          <w:r>
            <w:rPr>
              <w:rFonts w:ascii="黑体" w:hAnsi="黑体" w:eastAsia="黑体" w:cs="黑体"/>
              <w:bCs/>
              <w:szCs w:val="26"/>
            </w:rPr>
            <w:t>1.4.3 国家文物保护利用示范区</w:t>
          </w:r>
          <w:r>
            <w:tab/>
          </w:r>
          <w:r>
            <w:fldChar w:fldCharType="begin"/>
          </w:r>
          <w:r>
            <w:instrText xml:space="preserve"> PAGEREF _Toc23703 \h </w:instrText>
          </w:r>
          <w:r>
            <w:fldChar w:fldCharType="separate"/>
          </w:r>
          <w:r>
            <w:t>16</w:t>
          </w:r>
          <w:r>
            <w:fldChar w:fldCharType="end"/>
          </w:r>
          <w:r>
            <w:fldChar w:fldCharType="end"/>
          </w:r>
        </w:p>
        <w:p w14:paraId="26B43310">
          <w:pPr>
            <w:pStyle w:val="12"/>
            <w:tabs>
              <w:tab w:val="right" w:leader="dot" w:pos="9026"/>
            </w:tabs>
          </w:pPr>
          <w:r>
            <w:fldChar w:fldCharType="begin"/>
          </w:r>
          <w:r>
            <w:instrText xml:space="preserve"> HYPERLINK \l _Toc2276 </w:instrText>
          </w:r>
          <w:r>
            <w:fldChar w:fldCharType="separate"/>
          </w:r>
          <w:r>
            <w:rPr>
              <w:rFonts w:ascii="黑体" w:hAnsi="黑体" w:eastAsia="黑体" w:cs="黑体"/>
              <w:bCs/>
              <w:szCs w:val="28"/>
            </w:rPr>
            <w:t>本章小结</w:t>
          </w:r>
          <w:r>
            <w:tab/>
          </w:r>
          <w:r>
            <w:fldChar w:fldCharType="begin"/>
          </w:r>
          <w:r>
            <w:instrText xml:space="preserve"> PAGEREF _Toc2276 \h </w:instrText>
          </w:r>
          <w:r>
            <w:fldChar w:fldCharType="separate"/>
          </w:r>
          <w:r>
            <w:t>17</w:t>
          </w:r>
          <w:r>
            <w:fldChar w:fldCharType="end"/>
          </w:r>
          <w:r>
            <w:fldChar w:fldCharType="end"/>
          </w:r>
        </w:p>
        <w:p w14:paraId="5C52196C">
          <w:pPr>
            <w:pStyle w:val="12"/>
            <w:tabs>
              <w:tab w:val="right" w:leader="dot" w:pos="9026"/>
            </w:tabs>
          </w:pPr>
          <w:r>
            <w:fldChar w:fldCharType="begin"/>
          </w:r>
          <w:r>
            <w:instrText xml:space="preserve"> HYPERLINK \l _Toc1714 </w:instrText>
          </w:r>
          <w:r>
            <w:fldChar w:fldCharType="separate"/>
          </w:r>
          <w:r>
            <w:rPr>
              <w:rFonts w:ascii="黑体" w:hAnsi="黑体" w:eastAsia="黑体" w:cs="黑体"/>
              <w:bCs/>
              <w:szCs w:val="28"/>
            </w:rPr>
            <w:t>思考与练习</w:t>
          </w:r>
          <w:r>
            <w:tab/>
          </w:r>
          <w:r>
            <w:fldChar w:fldCharType="begin"/>
          </w:r>
          <w:r>
            <w:instrText xml:space="preserve"> PAGEREF _Toc1714 \h </w:instrText>
          </w:r>
          <w:r>
            <w:fldChar w:fldCharType="separate"/>
          </w:r>
          <w:r>
            <w:t>17</w:t>
          </w:r>
          <w:r>
            <w:fldChar w:fldCharType="end"/>
          </w:r>
          <w:r>
            <w:fldChar w:fldCharType="end"/>
          </w:r>
        </w:p>
        <w:p w14:paraId="07FC4BD9">
          <w:pPr>
            <w:pStyle w:val="12"/>
            <w:tabs>
              <w:tab w:val="right" w:leader="dot" w:pos="9026"/>
            </w:tabs>
          </w:pPr>
          <w:r>
            <w:fldChar w:fldCharType="begin"/>
          </w:r>
          <w:r>
            <w:instrText xml:space="preserve"> HYPERLINK \l _Toc13843 </w:instrText>
          </w:r>
          <w:r>
            <w:fldChar w:fldCharType="separate"/>
          </w:r>
          <w:r>
            <w:rPr>
              <w:rFonts w:ascii="黑体" w:hAnsi="黑体" w:eastAsia="黑体" w:cs="黑体"/>
              <w:bCs/>
              <w:szCs w:val="28"/>
            </w:rPr>
            <w:t>知识卡片：屯堡文化关键词</w:t>
          </w:r>
          <w:r>
            <w:tab/>
          </w:r>
          <w:r>
            <w:fldChar w:fldCharType="begin"/>
          </w:r>
          <w:r>
            <w:instrText xml:space="preserve"> PAGEREF _Toc13843 \h </w:instrText>
          </w:r>
          <w:r>
            <w:fldChar w:fldCharType="separate"/>
          </w:r>
          <w:r>
            <w:t>17</w:t>
          </w:r>
          <w:r>
            <w:fldChar w:fldCharType="end"/>
          </w:r>
          <w:r>
            <w:fldChar w:fldCharType="end"/>
          </w:r>
        </w:p>
        <w:p w14:paraId="7AC18970">
          <w:pPr>
            <w:pStyle w:val="10"/>
            <w:tabs>
              <w:tab w:val="right" w:leader="dot" w:pos="9026"/>
            </w:tabs>
          </w:pPr>
          <w:r>
            <w:fldChar w:fldCharType="begin"/>
          </w:r>
          <w:r>
            <w:instrText xml:space="preserve"> HYPERLINK \l _Toc23236 </w:instrText>
          </w:r>
          <w:r>
            <w:fldChar w:fldCharType="separate"/>
          </w:r>
          <w:r>
            <w:rPr>
              <w:rFonts w:ascii="黑体" w:hAnsi="黑体" w:eastAsia="黑体" w:cs="黑体"/>
              <w:bCs/>
              <w:szCs w:val="32"/>
            </w:rPr>
            <w:t>第 2 章  屯堡文化核心要素</w:t>
          </w:r>
          <w:r>
            <w:tab/>
          </w:r>
          <w:r>
            <w:fldChar w:fldCharType="begin"/>
          </w:r>
          <w:r>
            <w:instrText xml:space="preserve"> PAGEREF _Toc23236 \h </w:instrText>
          </w:r>
          <w:r>
            <w:fldChar w:fldCharType="separate"/>
          </w:r>
          <w:r>
            <w:t>18</w:t>
          </w:r>
          <w:r>
            <w:fldChar w:fldCharType="end"/>
          </w:r>
          <w:r>
            <w:fldChar w:fldCharType="end"/>
          </w:r>
        </w:p>
        <w:p w14:paraId="2F5FBFE3">
          <w:pPr>
            <w:pStyle w:val="12"/>
            <w:tabs>
              <w:tab w:val="right" w:leader="dot" w:pos="9026"/>
            </w:tabs>
          </w:pPr>
          <w:r>
            <w:fldChar w:fldCharType="begin"/>
          </w:r>
          <w:r>
            <w:instrText xml:space="preserve"> HYPERLINK \l _Toc3237 </w:instrText>
          </w:r>
          <w:r>
            <w:fldChar w:fldCharType="separate"/>
          </w:r>
          <w:r>
            <w:rPr>
              <w:rFonts w:ascii="黑体" w:hAnsi="黑体" w:eastAsia="黑体" w:cs="黑体"/>
              <w:bCs/>
              <w:szCs w:val="28"/>
            </w:rPr>
            <w:t>学习目标</w:t>
          </w:r>
          <w:r>
            <w:tab/>
          </w:r>
          <w:r>
            <w:fldChar w:fldCharType="begin"/>
          </w:r>
          <w:r>
            <w:instrText xml:space="preserve"> PAGEREF _Toc3237 \h </w:instrText>
          </w:r>
          <w:r>
            <w:fldChar w:fldCharType="separate"/>
          </w:r>
          <w:r>
            <w:t>18</w:t>
          </w:r>
          <w:r>
            <w:fldChar w:fldCharType="end"/>
          </w:r>
          <w:r>
            <w:fldChar w:fldCharType="end"/>
          </w:r>
        </w:p>
        <w:p w14:paraId="37F47059">
          <w:pPr>
            <w:pStyle w:val="12"/>
            <w:tabs>
              <w:tab w:val="right" w:leader="dot" w:pos="9026"/>
            </w:tabs>
          </w:pPr>
          <w:r>
            <w:fldChar w:fldCharType="begin"/>
          </w:r>
          <w:r>
            <w:instrText xml:space="preserve"> HYPERLINK \l _Toc11730 </w:instrText>
          </w:r>
          <w:r>
            <w:fldChar w:fldCharType="separate"/>
          </w:r>
          <w:r>
            <w:rPr>
              <w:rFonts w:ascii="黑体" w:hAnsi="黑体" w:eastAsia="黑体" w:cs="黑体"/>
              <w:bCs/>
              <w:szCs w:val="28"/>
            </w:rPr>
            <w:t>导入案例：一桌屯堡宴席里的六百年</w:t>
          </w:r>
          <w:r>
            <w:tab/>
          </w:r>
          <w:r>
            <w:fldChar w:fldCharType="begin"/>
          </w:r>
          <w:r>
            <w:instrText xml:space="preserve"> PAGEREF _Toc11730 \h </w:instrText>
          </w:r>
          <w:r>
            <w:fldChar w:fldCharType="separate"/>
          </w:r>
          <w:r>
            <w:t>18</w:t>
          </w:r>
          <w:r>
            <w:fldChar w:fldCharType="end"/>
          </w:r>
          <w:r>
            <w:fldChar w:fldCharType="end"/>
          </w:r>
        </w:p>
        <w:p w14:paraId="56CA87C3">
          <w:pPr>
            <w:pStyle w:val="12"/>
            <w:tabs>
              <w:tab w:val="right" w:leader="dot" w:pos="9026"/>
            </w:tabs>
          </w:pPr>
          <w:r>
            <w:fldChar w:fldCharType="begin"/>
          </w:r>
          <w:r>
            <w:instrText xml:space="preserve"> HYPERLINK \l _Toc8657 </w:instrText>
          </w:r>
          <w:r>
            <w:fldChar w:fldCharType="separate"/>
          </w:r>
          <w:r>
            <w:rPr>
              <w:rFonts w:ascii="黑体" w:hAnsi="黑体" w:eastAsia="黑体" w:cs="黑体"/>
              <w:bCs/>
              <w:szCs w:val="28"/>
            </w:rPr>
            <w:t>2.1 屯堡建筑：石头王国里的防御美学</w:t>
          </w:r>
          <w:r>
            <w:tab/>
          </w:r>
          <w:r>
            <w:fldChar w:fldCharType="begin"/>
          </w:r>
          <w:r>
            <w:instrText xml:space="preserve"> PAGEREF _Toc8657 \h </w:instrText>
          </w:r>
          <w:r>
            <w:fldChar w:fldCharType="separate"/>
          </w:r>
          <w:r>
            <w:t>18</w:t>
          </w:r>
          <w:r>
            <w:fldChar w:fldCharType="end"/>
          </w:r>
          <w:r>
            <w:fldChar w:fldCharType="end"/>
          </w:r>
        </w:p>
        <w:p w14:paraId="292A91B6">
          <w:pPr>
            <w:pStyle w:val="8"/>
            <w:tabs>
              <w:tab w:val="right" w:leader="dot" w:pos="9026"/>
            </w:tabs>
          </w:pPr>
          <w:r>
            <w:fldChar w:fldCharType="begin"/>
          </w:r>
          <w:r>
            <w:instrText xml:space="preserve"> HYPERLINK \l _Toc2931 </w:instrText>
          </w:r>
          <w:r>
            <w:fldChar w:fldCharType="separate"/>
          </w:r>
          <w:r>
            <w:rPr>
              <w:rFonts w:ascii="黑体" w:hAnsi="黑体" w:eastAsia="黑体" w:cs="黑体"/>
              <w:bCs/>
              <w:szCs w:val="26"/>
            </w:rPr>
            <w:t>2.1.1 建筑材料的智慧选择</w:t>
          </w:r>
          <w:r>
            <w:tab/>
          </w:r>
          <w:r>
            <w:fldChar w:fldCharType="begin"/>
          </w:r>
          <w:r>
            <w:instrText xml:space="preserve"> PAGEREF _Toc2931 \h </w:instrText>
          </w:r>
          <w:r>
            <w:fldChar w:fldCharType="separate"/>
          </w:r>
          <w:r>
            <w:t>18</w:t>
          </w:r>
          <w:r>
            <w:fldChar w:fldCharType="end"/>
          </w:r>
          <w:r>
            <w:fldChar w:fldCharType="end"/>
          </w:r>
        </w:p>
        <w:p w14:paraId="0737B900">
          <w:pPr>
            <w:pStyle w:val="8"/>
            <w:tabs>
              <w:tab w:val="right" w:leader="dot" w:pos="9026"/>
            </w:tabs>
          </w:pPr>
          <w:r>
            <w:fldChar w:fldCharType="begin"/>
          </w:r>
          <w:r>
            <w:instrText xml:space="preserve"> HYPERLINK \l _Toc22812 </w:instrText>
          </w:r>
          <w:r>
            <w:fldChar w:fldCharType="separate"/>
          </w:r>
          <w:r>
            <w:rPr>
              <w:rFonts w:ascii="黑体" w:hAnsi="黑体" w:eastAsia="黑体" w:cs="黑体"/>
              <w:bCs/>
              <w:szCs w:val="26"/>
            </w:rPr>
            <w:t>2.1.2 屯堡民居的典型形制</w:t>
          </w:r>
          <w:r>
            <w:tab/>
          </w:r>
          <w:r>
            <w:fldChar w:fldCharType="begin"/>
          </w:r>
          <w:r>
            <w:instrText xml:space="preserve"> PAGEREF _Toc22812 \h </w:instrText>
          </w:r>
          <w:r>
            <w:fldChar w:fldCharType="separate"/>
          </w:r>
          <w:r>
            <w:t>18</w:t>
          </w:r>
          <w:r>
            <w:fldChar w:fldCharType="end"/>
          </w:r>
          <w:r>
            <w:fldChar w:fldCharType="end"/>
          </w:r>
        </w:p>
        <w:p w14:paraId="2DFAB802">
          <w:pPr>
            <w:pStyle w:val="8"/>
            <w:tabs>
              <w:tab w:val="right" w:leader="dot" w:pos="9026"/>
            </w:tabs>
          </w:pPr>
          <w:r>
            <w:fldChar w:fldCharType="begin"/>
          </w:r>
          <w:r>
            <w:instrText xml:space="preserve"> HYPERLINK \l _Toc32290 </w:instrText>
          </w:r>
          <w:r>
            <w:fldChar w:fldCharType="separate"/>
          </w:r>
          <w:r>
            <w:rPr>
              <w:rFonts w:ascii="黑体" w:hAnsi="黑体" w:eastAsia="黑体" w:cs="黑体"/>
              <w:bCs/>
              <w:szCs w:val="26"/>
            </w:rPr>
            <w:t>2.1.3 军事防御体系</w:t>
          </w:r>
          <w:r>
            <w:tab/>
          </w:r>
          <w:r>
            <w:fldChar w:fldCharType="begin"/>
          </w:r>
          <w:r>
            <w:instrText xml:space="preserve"> PAGEREF _Toc32290 \h </w:instrText>
          </w:r>
          <w:r>
            <w:fldChar w:fldCharType="separate"/>
          </w:r>
          <w:r>
            <w:t>19</w:t>
          </w:r>
          <w:r>
            <w:fldChar w:fldCharType="end"/>
          </w:r>
          <w:r>
            <w:fldChar w:fldCharType="end"/>
          </w:r>
        </w:p>
        <w:p w14:paraId="05E8C09F">
          <w:pPr>
            <w:pStyle w:val="8"/>
            <w:tabs>
              <w:tab w:val="right" w:leader="dot" w:pos="9026"/>
            </w:tabs>
          </w:pPr>
          <w:r>
            <w:fldChar w:fldCharType="begin"/>
          </w:r>
          <w:r>
            <w:instrText xml:space="preserve"> HYPERLINK \l _Toc7167 </w:instrText>
          </w:r>
          <w:r>
            <w:fldChar w:fldCharType="separate"/>
          </w:r>
          <w:r>
            <w:rPr>
              <w:rFonts w:ascii="黑体" w:hAnsi="黑体" w:eastAsia="黑体" w:cs="黑体"/>
              <w:bCs/>
              <w:szCs w:val="26"/>
            </w:rPr>
            <w:t>2.1.4 代表性建筑遗存</w:t>
          </w:r>
          <w:r>
            <w:tab/>
          </w:r>
          <w:r>
            <w:fldChar w:fldCharType="begin"/>
          </w:r>
          <w:r>
            <w:instrText xml:space="preserve"> PAGEREF _Toc7167 \h </w:instrText>
          </w:r>
          <w:r>
            <w:fldChar w:fldCharType="separate"/>
          </w:r>
          <w:r>
            <w:t>19</w:t>
          </w:r>
          <w:r>
            <w:fldChar w:fldCharType="end"/>
          </w:r>
          <w:r>
            <w:fldChar w:fldCharType="end"/>
          </w:r>
        </w:p>
        <w:p w14:paraId="48EC5F8B">
          <w:pPr>
            <w:pStyle w:val="12"/>
            <w:tabs>
              <w:tab w:val="right" w:leader="dot" w:pos="9026"/>
            </w:tabs>
          </w:pPr>
          <w:r>
            <w:fldChar w:fldCharType="begin"/>
          </w:r>
          <w:r>
            <w:instrText xml:space="preserve"> HYPERLINK \l _Toc14033 </w:instrText>
          </w:r>
          <w:r>
            <w:fldChar w:fldCharType="separate"/>
          </w:r>
          <w:r>
            <w:rPr>
              <w:rFonts w:ascii="黑体" w:hAnsi="黑体" w:eastAsia="黑体" w:cs="黑体"/>
              <w:bCs/>
              <w:szCs w:val="28"/>
            </w:rPr>
            <w:t>2.2 安顺地戏：面具背后的金戈铁马</w:t>
          </w:r>
          <w:r>
            <w:tab/>
          </w:r>
          <w:r>
            <w:fldChar w:fldCharType="begin"/>
          </w:r>
          <w:r>
            <w:instrText xml:space="preserve"> PAGEREF _Toc14033 \h </w:instrText>
          </w:r>
          <w:r>
            <w:fldChar w:fldCharType="separate"/>
          </w:r>
          <w:r>
            <w:t>20</w:t>
          </w:r>
          <w:r>
            <w:fldChar w:fldCharType="end"/>
          </w:r>
          <w:r>
            <w:fldChar w:fldCharType="end"/>
          </w:r>
        </w:p>
        <w:p w14:paraId="44FA67BD">
          <w:pPr>
            <w:pStyle w:val="8"/>
            <w:tabs>
              <w:tab w:val="right" w:leader="dot" w:pos="9026"/>
            </w:tabs>
          </w:pPr>
          <w:r>
            <w:fldChar w:fldCharType="begin"/>
          </w:r>
          <w:r>
            <w:instrText xml:space="preserve"> HYPERLINK \l _Toc30608 </w:instrText>
          </w:r>
          <w:r>
            <w:fldChar w:fldCharType="separate"/>
          </w:r>
          <w:r>
            <w:rPr>
              <w:rFonts w:ascii="黑体" w:hAnsi="黑体" w:eastAsia="黑体" w:cs="黑体"/>
              <w:bCs/>
              <w:szCs w:val="26"/>
            </w:rPr>
            <w:t>2.2.1 地戏的起源与演变</w:t>
          </w:r>
          <w:r>
            <w:tab/>
          </w:r>
          <w:r>
            <w:fldChar w:fldCharType="begin"/>
          </w:r>
          <w:r>
            <w:instrText xml:space="preserve"> PAGEREF _Toc30608 \h </w:instrText>
          </w:r>
          <w:r>
            <w:fldChar w:fldCharType="separate"/>
          </w:r>
          <w:r>
            <w:t>20</w:t>
          </w:r>
          <w:r>
            <w:fldChar w:fldCharType="end"/>
          </w:r>
          <w:r>
            <w:fldChar w:fldCharType="end"/>
          </w:r>
        </w:p>
        <w:p w14:paraId="74DB9E9C">
          <w:pPr>
            <w:pStyle w:val="8"/>
            <w:tabs>
              <w:tab w:val="right" w:leader="dot" w:pos="9026"/>
            </w:tabs>
          </w:pPr>
          <w:r>
            <w:fldChar w:fldCharType="begin"/>
          </w:r>
          <w:r>
            <w:instrText xml:space="preserve"> HYPERLINK \l _Toc30306 </w:instrText>
          </w:r>
          <w:r>
            <w:fldChar w:fldCharType="separate"/>
          </w:r>
          <w:r>
            <w:rPr>
              <w:rFonts w:ascii="黑体" w:hAnsi="黑体" w:eastAsia="黑体" w:cs="黑体"/>
              <w:bCs/>
              <w:szCs w:val="26"/>
            </w:rPr>
            <w:t>2.2.2 地戏的表演要素</w:t>
          </w:r>
          <w:r>
            <w:tab/>
          </w:r>
          <w:r>
            <w:fldChar w:fldCharType="begin"/>
          </w:r>
          <w:r>
            <w:instrText xml:space="preserve"> PAGEREF _Toc30306 \h </w:instrText>
          </w:r>
          <w:r>
            <w:fldChar w:fldCharType="separate"/>
          </w:r>
          <w:r>
            <w:t>20</w:t>
          </w:r>
          <w:r>
            <w:fldChar w:fldCharType="end"/>
          </w:r>
          <w:r>
            <w:fldChar w:fldCharType="end"/>
          </w:r>
        </w:p>
        <w:p w14:paraId="3AA04205">
          <w:pPr>
            <w:pStyle w:val="8"/>
            <w:tabs>
              <w:tab w:val="right" w:leader="dot" w:pos="9026"/>
            </w:tabs>
          </w:pPr>
          <w:r>
            <w:fldChar w:fldCharType="begin"/>
          </w:r>
          <w:r>
            <w:instrText xml:space="preserve"> HYPERLINK \l _Toc6316 </w:instrText>
          </w:r>
          <w:r>
            <w:fldChar w:fldCharType="separate"/>
          </w:r>
          <w:r>
            <w:rPr>
              <w:rFonts w:ascii="黑体" w:hAnsi="黑体" w:eastAsia="黑体" w:cs="黑体"/>
              <w:bCs/>
              <w:szCs w:val="26"/>
            </w:rPr>
            <w:t>2.2.3 地戏剧目体系</w:t>
          </w:r>
          <w:r>
            <w:tab/>
          </w:r>
          <w:r>
            <w:fldChar w:fldCharType="begin"/>
          </w:r>
          <w:r>
            <w:instrText xml:space="preserve"> PAGEREF _Toc6316 \h </w:instrText>
          </w:r>
          <w:r>
            <w:fldChar w:fldCharType="separate"/>
          </w:r>
          <w:r>
            <w:t>21</w:t>
          </w:r>
          <w:r>
            <w:fldChar w:fldCharType="end"/>
          </w:r>
          <w:r>
            <w:fldChar w:fldCharType="end"/>
          </w:r>
        </w:p>
        <w:p w14:paraId="11E90823">
          <w:pPr>
            <w:pStyle w:val="8"/>
            <w:tabs>
              <w:tab w:val="right" w:leader="dot" w:pos="9026"/>
            </w:tabs>
          </w:pPr>
          <w:r>
            <w:fldChar w:fldCharType="begin"/>
          </w:r>
          <w:r>
            <w:instrText xml:space="preserve"> HYPERLINK \l _Toc28604 </w:instrText>
          </w:r>
          <w:r>
            <w:fldChar w:fldCharType="separate"/>
          </w:r>
          <w:r>
            <w:rPr>
              <w:rFonts w:ascii="黑体" w:hAnsi="黑体" w:eastAsia="黑体" w:cs="黑体"/>
              <w:bCs/>
              <w:szCs w:val="26"/>
            </w:rPr>
            <w:t>2.2.4 地戏的文化功能</w:t>
          </w:r>
          <w:r>
            <w:tab/>
          </w:r>
          <w:r>
            <w:fldChar w:fldCharType="begin"/>
          </w:r>
          <w:r>
            <w:instrText xml:space="preserve"> PAGEREF _Toc28604 \h </w:instrText>
          </w:r>
          <w:r>
            <w:fldChar w:fldCharType="separate"/>
          </w:r>
          <w:r>
            <w:t>21</w:t>
          </w:r>
          <w:r>
            <w:fldChar w:fldCharType="end"/>
          </w:r>
          <w:r>
            <w:fldChar w:fldCharType="end"/>
          </w:r>
        </w:p>
        <w:p w14:paraId="0FE8F448">
          <w:pPr>
            <w:pStyle w:val="12"/>
            <w:tabs>
              <w:tab w:val="right" w:leader="dot" w:pos="9026"/>
            </w:tabs>
          </w:pPr>
          <w:r>
            <w:fldChar w:fldCharType="begin"/>
          </w:r>
          <w:r>
            <w:instrText xml:space="preserve"> HYPERLINK \l _Toc8756 </w:instrText>
          </w:r>
          <w:r>
            <w:fldChar w:fldCharType="separate"/>
          </w:r>
          <w:r>
            <w:rPr>
              <w:rFonts w:ascii="黑体" w:hAnsi="黑体" w:eastAsia="黑体" w:cs="黑体"/>
              <w:bCs/>
              <w:szCs w:val="28"/>
            </w:rPr>
            <w:t>2.3 屯堡服饰：穿在身上的明代记忆</w:t>
          </w:r>
          <w:r>
            <w:tab/>
          </w:r>
          <w:r>
            <w:fldChar w:fldCharType="begin"/>
          </w:r>
          <w:r>
            <w:instrText xml:space="preserve"> PAGEREF _Toc8756 \h </w:instrText>
          </w:r>
          <w:r>
            <w:fldChar w:fldCharType="separate"/>
          </w:r>
          <w:r>
            <w:t>21</w:t>
          </w:r>
          <w:r>
            <w:fldChar w:fldCharType="end"/>
          </w:r>
          <w:r>
            <w:fldChar w:fldCharType="end"/>
          </w:r>
        </w:p>
        <w:p w14:paraId="2F193B99">
          <w:pPr>
            <w:pStyle w:val="8"/>
            <w:tabs>
              <w:tab w:val="right" w:leader="dot" w:pos="9026"/>
            </w:tabs>
          </w:pPr>
          <w:r>
            <w:fldChar w:fldCharType="begin"/>
          </w:r>
          <w:r>
            <w:instrText xml:space="preserve"> HYPERLINK \l _Toc20357 </w:instrText>
          </w:r>
          <w:r>
            <w:fldChar w:fldCharType="separate"/>
          </w:r>
          <w:r>
            <w:rPr>
              <w:rFonts w:ascii="黑体" w:hAnsi="黑体" w:eastAsia="黑体" w:cs="黑体"/>
              <w:bCs/>
              <w:szCs w:val="26"/>
            </w:rPr>
            <w:t>2.3.1 女性服饰形制</w:t>
          </w:r>
          <w:r>
            <w:tab/>
          </w:r>
          <w:r>
            <w:fldChar w:fldCharType="begin"/>
          </w:r>
          <w:r>
            <w:instrText xml:space="preserve"> PAGEREF _Toc20357 \h </w:instrText>
          </w:r>
          <w:r>
            <w:fldChar w:fldCharType="separate"/>
          </w:r>
          <w:r>
            <w:t>21</w:t>
          </w:r>
          <w:r>
            <w:fldChar w:fldCharType="end"/>
          </w:r>
          <w:r>
            <w:fldChar w:fldCharType="end"/>
          </w:r>
        </w:p>
        <w:p w14:paraId="2248598B">
          <w:pPr>
            <w:pStyle w:val="8"/>
            <w:tabs>
              <w:tab w:val="right" w:leader="dot" w:pos="9026"/>
            </w:tabs>
          </w:pPr>
          <w:r>
            <w:fldChar w:fldCharType="begin"/>
          </w:r>
          <w:r>
            <w:instrText xml:space="preserve"> HYPERLINK \l _Toc30291 </w:instrText>
          </w:r>
          <w:r>
            <w:fldChar w:fldCharType="separate"/>
          </w:r>
          <w:r>
            <w:rPr>
              <w:rFonts w:ascii="黑体" w:hAnsi="黑体" w:eastAsia="黑体" w:cs="黑体"/>
              <w:bCs/>
              <w:szCs w:val="26"/>
            </w:rPr>
            <w:t>2.3.2 服饰的文化象征</w:t>
          </w:r>
          <w:r>
            <w:tab/>
          </w:r>
          <w:r>
            <w:fldChar w:fldCharType="begin"/>
          </w:r>
          <w:r>
            <w:instrText xml:space="preserve"> PAGEREF _Toc30291 \h </w:instrText>
          </w:r>
          <w:r>
            <w:fldChar w:fldCharType="separate"/>
          </w:r>
          <w:r>
            <w:t>22</w:t>
          </w:r>
          <w:r>
            <w:fldChar w:fldCharType="end"/>
          </w:r>
          <w:r>
            <w:fldChar w:fldCharType="end"/>
          </w:r>
        </w:p>
        <w:p w14:paraId="4BA7908D">
          <w:pPr>
            <w:pStyle w:val="8"/>
            <w:tabs>
              <w:tab w:val="right" w:leader="dot" w:pos="9026"/>
            </w:tabs>
          </w:pPr>
          <w:r>
            <w:fldChar w:fldCharType="begin"/>
          </w:r>
          <w:r>
            <w:instrText xml:space="preserve"> HYPERLINK \l _Toc16087 </w:instrText>
          </w:r>
          <w:r>
            <w:fldChar w:fldCharType="separate"/>
          </w:r>
          <w:r>
            <w:rPr>
              <w:rFonts w:ascii="黑体" w:hAnsi="黑体" w:eastAsia="黑体" w:cs="黑体"/>
              <w:bCs/>
              <w:szCs w:val="26"/>
            </w:rPr>
            <w:t>2.3.3 服饰的当代变迁</w:t>
          </w:r>
          <w:r>
            <w:tab/>
          </w:r>
          <w:r>
            <w:fldChar w:fldCharType="begin"/>
          </w:r>
          <w:r>
            <w:instrText xml:space="preserve"> PAGEREF _Toc16087 \h </w:instrText>
          </w:r>
          <w:r>
            <w:fldChar w:fldCharType="separate"/>
          </w:r>
          <w:r>
            <w:t>22</w:t>
          </w:r>
          <w:r>
            <w:fldChar w:fldCharType="end"/>
          </w:r>
          <w:r>
            <w:fldChar w:fldCharType="end"/>
          </w:r>
        </w:p>
        <w:p w14:paraId="2980A6EC">
          <w:pPr>
            <w:pStyle w:val="12"/>
            <w:tabs>
              <w:tab w:val="right" w:leader="dot" w:pos="9026"/>
            </w:tabs>
          </w:pPr>
          <w:r>
            <w:fldChar w:fldCharType="begin"/>
          </w:r>
          <w:r>
            <w:instrText xml:space="preserve"> HYPERLINK \l _Toc4849 </w:instrText>
          </w:r>
          <w:r>
            <w:fldChar w:fldCharType="separate"/>
          </w:r>
          <w:r>
            <w:rPr>
              <w:rFonts w:ascii="黑体" w:hAnsi="黑体" w:eastAsia="黑体" w:cs="黑体"/>
              <w:bCs/>
              <w:szCs w:val="28"/>
            </w:rPr>
            <w:t>2.4 屯堡饮食：舌尖上的江淮记忆</w:t>
          </w:r>
          <w:r>
            <w:tab/>
          </w:r>
          <w:r>
            <w:fldChar w:fldCharType="begin"/>
          </w:r>
          <w:r>
            <w:instrText xml:space="preserve"> PAGEREF _Toc4849 \h </w:instrText>
          </w:r>
          <w:r>
            <w:fldChar w:fldCharType="separate"/>
          </w:r>
          <w:r>
            <w:t>22</w:t>
          </w:r>
          <w:r>
            <w:fldChar w:fldCharType="end"/>
          </w:r>
          <w:r>
            <w:fldChar w:fldCharType="end"/>
          </w:r>
        </w:p>
        <w:p w14:paraId="64EC42C7">
          <w:pPr>
            <w:pStyle w:val="8"/>
            <w:tabs>
              <w:tab w:val="right" w:leader="dot" w:pos="9026"/>
            </w:tabs>
          </w:pPr>
          <w:r>
            <w:fldChar w:fldCharType="begin"/>
          </w:r>
          <w:r>
            <w:instrText xml:space="preserve"> HYPERLINK \l _Toc8291 </w:instrText>
          </w:r>
          <w:r>
            <w:fldChar w:fldCharType="separate"/>
          </w:r>
          <w:r>
            <w:rPr>
              <w:rFonts w:ascii="黑体" w:hAnsi="黑体" w:eastAsia="黑体" w:cs="黑体"/>
              <w:bCs/>
              <w:szCs w:val="26"/>
            </w:rPr>
            <w:t>2.4.1 屯堡饮食的源流</w:t>
          </w:r>
          <w:r>
            <w:tab/>
          </w:r>
          <w:r>
            <w:fldChar w:fldCharType="begin"/>
          </w:r>
          <w:r>
            <w:instrText xml:space="preserve"> PAGEREF _Toc8291 \h </w:instrText>
          </w:r>
          <w:r>
            <w:fldChar w:fldCharType="separate"/>
          </w:r>
          <w:r>
            <w:t>22</w:t>
          </w:r>
          <w:r>
            <w:fldChar w:fldCharType="end"/>
          </w:r>
          <w:r>
            <w:fldChar w:fldCharType="end"/>
          </w:r>
        </w:p>
        <w:p w14:paraId="5533FC83">
          <w:pPr>
            <w:pStyle w:val="8"/>
            <w:tabs>
              <w:tab w:val="right" w:leader="dot" w:pos="9026"/>
            </w:tabs>
          </w:pPr>
          <w:r>
            <w:fldChar w:fldCharType="begin"/>
          </w:r>
          <w:r>
            <w:instrText xml:space="preserve"> HYPERLINK \l _Toc25275 </w:instrText>
          </w:r>
          <w:r>
            <w:fldChar w:fldCharType="separate"/>
          </w:r>
          <w:r>
            <w:rPr>
              <w:rFonts w:ascii="黑体" w:hAnsi="黑体" w:eastAsia="黑体" w:cs="黑体"/>
              <w:bCs/>
              <w:szCs w:val="26"/>
            </w:rPr>
            <w:t>2.4.2 代表性屯堡菜肴</w:t>
          </w:r>
          <w:r>
            <w:tab/>
          </w:r>
          <w:r>
            <w:fldChar w:fldCharType="begin"/>
          </w:r>
          <w:r>
            <w:instrText xml:space="preserve"> PAGEREF _Toc25275 \h </w:instrText>
          </w:r>
          <w:r>
            <w:fldChar w:fldCharType="separate"/>
          </w:r>
          <w:r>
            <w:t>22</w:t>
          </w:r>
          <w:r>
            <w:fldChar w:fldCharType="end"/>
          </w:r>
          <w:r>
            <w:fldChar w:fldCharType="end"/>
          </w:r>
        </w:p>
        <w:p w14:paraId="23F60B0F">
          <w:pPr>
            <w:pStyle w:val="8"/>
            <w:tabs>
              <w:tab w:val="right" w:leader="dot" w:pos="9026"/>
            </w:tabs>
          </w:pPr>
          <w:r>
            <w:fldChar w:fldCharType="begin"/>
          </w:r>
          <w:r>
            <w:instrText xml:space="preserve"> HYPERLINK \l _Toc989 </w:instrText>
          </w:r>
          <w:r>
            <w:fldChar w:fldCharType="separate"/>
          </w:r>
          <w:r>
            <w:rPr>
              <w:rFonts w:ascii="黑体" w:hAnsi="黑体" w:eastAsia="黑体" w:cs="黑体"/>
              <w:bCs/>
              <w:szCs w:val="26"/>
            </w:rPr>
            <w:t>2.4.3 饮食习俗</w:t>
          </w:r>
          <w:r>
            <w:tab/>
          </w:r>
          <w:r>
            <w:fldChar w:fldCharType="begin"/>
          </w:r>
          <w:r>
            <w:instrText xml:space="preserve"> PAGEREF _Toc989 \h </w:instrText>
          </w:r>
          <w:r>
            <w:fldChar w:fldCharType="separate"/>
          </w:r>
          <w:r>
            <w:t>23</w:t>
          </w:r>
          <w:r>
            <w:fldChar w:fldCharType="end"/>
          </w:r>
          <w:r>
            <w:fldChar w:fldCharType="end"/>
          </w:r>
        </w:p>
        <w:p w14:paraId="18935B95">
          <w:pPr>
            <w:pStyle w:val="12"/>
            <w:tabs>
              <w:tab w:val="right" w:leader="dot" w:pos="9026"/>
            </w:tabs>
          </w:pPr>
          <w:r>
            <w:fldChar w:fldCharType="begin"/>
          </w:r>
          <w:r>
            <w:instrText xml:space="preserve"> HYPERLINK \l _Toc12134 </w:instrText>
          </w:r>
          <w:r>
            <w:fldChar w:fldCharType="separate"/>
          </w:r>
          <w:r>
            <w:rPr>
              <w:rFonts w:ascii="黑体" w:hAnsi="黑体" w:eastAsia="黑体" w:cs="黑体"/>
              <w:bCs/>
              <w:szCs w:val="28"/>
            </w:rPr>
            <w:t>2.5 屯堡语言：明代官话的活标本</w:t>
          </w:r>
          <w:r>
            <w:tab/>
          </w:r>
          <w:r>
            <w:fldChar w:fldCharType="begin"/>
          </w:r>
          <w:r>
            <w:instrText xml:space="preserve"> PAGEREF _Toc12134 \h </w:instrText>
          </w:r>
          <w:r>
            <w:fldChar w:fldCharType="separate"/>
          </w:r>
          <w:r>
            <w:t>23</w:t>
          </w:r>
          <w:r>
            <w:fldChar w:fldCharType="end"/>
          </w:r>
          <w:r>
            <w:fldChar w:fldCharType="end"/>
          </w:r>
        </w:p>
        <w:p w14:paraId="1056FD50">
          <w:pPr>
            <w:pStyle w:val="8"/>
            <w:tabs>
              <w:tab w:val="right" w:leader="dot" w:pos="9026"/>
            </w:tabs>
          </w:pPr>
          <w:r>
            <w:fldChar w:fldCharType="begin"/>
          </w:r>
          <w:r>
            <w:instrText xml:space="preserve"> HYPERLINK \l _Toc27054 </w:instrText>
          </w:r>
          <w:r>
            <w:fldChar w:fldCharType="separate"/>
          </w:r>
          <w:r>
            <w:rPr>
              <w:rFonts w:ascii="黑体" w:hAnsi="黑体" w:eastAsia="黑体" w:cs="黑体"/>
              <w:bCs/>
              <w:szCs w:val="26"/>
            </w:rPr>
            <w:t>2.5.1 屯堡话的语音特征</w:t>
          </w:r>
          <w:r>
            <w:tab/>
          </w:r>
          <w:r>
            <w:fldChar w:fldCharType="begin"/>
          </w:r>
          <w:r>
            <w:instrText xml:space="preserve"> PAGEREF _Toc27054 \h </w:instrText>
          </w:r>
          <w:r>
            <w:fldChar w:fldCharType="separate"/>
          </w:r>
          <w:r>
            <w:t>23</w:t>
          </w:r>
          <w:r>
            <w:fldChar w:fldCharType="end"/>
          </w:r>
          <w:r>
            <w:fldChar w:fldCharType="end"/>
          </w:r>
        </w:p>
        <w:p w14:paraId="7EE58139">
          <w:pPr>
            <w:pStyle w:val="8"/>
            <w:tabs>
              <w:tab w:val="right" w:leader="dot" w:pos="9026"/>
            </w:tabs>
          </w:pPr>
          <w:r>
            <w:fldChar w:fldCharType="begin"/>
          </w:r>
          <w:r>
            <w:instrText xml:space="preserve"> HYPERLINK \l _Toc1820 </w:instrText>
          </w:r>
          <w:r>
            <w:fldChar w:fldCharType="separate"/>
          </w:r>
          <w:r>
            <w:rPr>
              <w:rFonts w:ascii="黑体" w:hAnsi="黑体" w:eastAsia="黑体" w:cs="黑体"/>
              <w:bCs/>
              <w:szCs w:val="26"/>
            </w:rPr>
            <w:t>2.5.2 屯堡话的词汇特色</w:t>
          </w:r>
          <w:r>
            <w:tab/>
          </w:r>
          <w:r>
            <w:fldChar w:fldCharType="begin"/>
          </w:r>
          <w:r>
            <w:instrText xml:space="preserve"> PAGEREF _Toc1820 \h </w:instrText>
          </w:r>
          <w:r>
            <w:fldChar w:fldCharType="separate"/>
          </w:r>
          <w:r>
            <w:t>23</w:t>
          </w:r>
          <w:r>
            <w:fldChar w:fldCharType="end"/>
          </w:r>
          <w:r>
            <w:fldChar w:fldCharType="end"/>
          </w:r>
        </w:p>
        <w:p w14:paraId="7FAAEB23">
          <w:pPr>
            <w:pStyle w:val="8"/>
            <w:tabs>
              <w:tab w:val="right" w:leader="dot" w:pos="9026"/>
            </w:tabs>
          </w:pPr>
          <w:r>
            <w:fldChar w:fldCharType="begin"/>
          </w:r>
          <w:r>
            <w:instrText xml:space="preserve"> HYPERLINK \l _Toc309 </w:instrText>
          </w:r>
          <w:r>
            <w:fldChar w:fldCharType="separate"/>
          </w:r>
          <w:r>
            <w:rPr>
              <w:rFonts w:ascii="黑体" w:hAnsi="黑体" w:eastAsia="黑体" w:cs="黑体"/>
              <w:bCs/>
              <w:szCs w:val="26"/>
            </w:rPr>
            <w:t>2.5.3 屯堡话的研究价值</w:t>
          </w:r>
          <w:r>
            <w:tab/>
          </w:r>
          <w:r>
            <w:fldChar w:fldCharType="begin"/>
          </w:r>
          <w:r>
            <w:instrText xml:space="preserve"> PAGEREF _Toc309 \h </w:instrText>
          </w:r>
          <w:r>
            <w:fldChar w:fldCharType="separate"/>
          </w:r>
          <w:r>
            <w:t>23</w:t>
          </w:r>
          <w:r>
            <w:fldChar w:fldCharType="end"/>
          </w:r>
          <w:r>
            <w:fldChar w:fldCharType="end"/>
          </w:r>
        </w:p>
        <w:p w14:paraId="1A6C45C0">
          <w:pPr>
            <w:pStyle w:val="12"/>
            <w:tabs>
              <w:tab w:val="right" w:leader="dot" w:pos="9026"/>
            </w:tabs>
          </w:pPr>
          <w:r>
            <w:fldChar w:fldCharType="begin"/>
          </w:r>
          <w:r>
            <w:instrText xml:space="preserve"> HYPERLINK \l _Toc13870 </w:instrText>
          </w:r>
          <w:r>
            <w:fldChar w:fldCharType="separate"/>
          </w:r>
          <w:r>
            <w:rPr>
              <w:rFonts w:ascii="黑体" w:hAnsi="黑体" w:eastAsia="黑体" w:cs="黑体"/>
              <w:bCs/>
              <w:szCs w:val="28"/>
            </w:rPr>
            <w:t>2.6 屯堡信仰：汪公崇拜与多元信仰</w:t>
          </w:r>
          <w:r>
            <w:tab/>
          </w:r>
          <w:r>
            <w:fldChar w:fldCharType="begin"/>
          </w:r>
          <w:r>
            <w:instrText xml:space="preserve"> PAGEREF _Toc13870 \h </w:instrText>
          </w:r>
          <w:r>
            <w:fldChar w:fldCharType="separate"/>
          </w:r>
          <w:r>
            <w:t>24</w:t>
          </w:r>
          <w:r>
            <w:fldChar w:fldCharType="end"/>
          </w:r>
          <w:r>
            <w:fldChar w:fldCharType="end"/>
          </w:r>
        </w:p>
        <w:p w14:paraId="465E9746">
          <w:pPr>
            <w:pStyle w:val="8"/>
            <w:tabs>
              <w:tab w:val="right" w:leader="dot" w:pos="9026"/>
            </w:tabs>
          </w:pPr>
          <w:r>
            <w:fldChar w:fldCharType="begin"/>
          </w:r>
          <w:r>
            <w:instrText xml:space="preserve"> HYPERLINK \l _Toc7719 </w:instrText>
          </w:r>
          <w:r>
            <w:fldChar w:fldCharType="separate"/>
          </w:r>
          <w:r>
            <w:rPr>
              <w:rFonts w:ascii="黑体" w:hAnsi="黑体" w:eastAsia="黑体" w:cs="黑体"/>
              <w:bCs/>
              <w:szCs w:val="26"/>
            </w:rPr>
            <w:t>2.6.1 汪公崇拜的起源</w:t>
          </w:r>
          <w:r>
            <w:tab/>
          </w:r>
          <w:r>
            <w:fldChar w:fldCharType="begin"/>
          </w:r>
          <w:r>
            <w:instrText xml:space="preserve"> PAGEREF _Toc7719 \h </w:instrText>
          </w:r>
          <w:r>
            <w:fldChar w:fldCharType="separate"/>
          </w:r>
          <w:r>
            <w:t>24</w:t>
          </w:r>
          <w:r>
            <w:fldChar w:fldCharType="end"/>
          </w:r>
          <w:r>
            <w:fldChar w:fldCharType="end"/>
          </w:r>
        </w:p>
        <w:p w14:paraId="025EA51E">
          <w:pPr>
            <w:pStyle w:val="8"/>
            <w:tabs>
              <w:tab w:val="right" w:leader="dot" w:pos="9026"/>
            </w:tabs>
          </w:pPr>
          <w:r>
            <w:fldChar w:fldCharType="begin"/>
          </w:r>
          <w:r>
            <w:instrText xml:space="preserve"> HYPERLINK \l _Toc16259 </w:instrText>
          </w:r>
          <w:r>
            <w:fldChar w:fldCharType="separate"/>
          </w:r>
          <w:r>
            <w:rPr>
              <w:rFonts w:ascii="黑体" w:hAnsi="黑体" w:eastAsia="黑体" w:cs="黑体"/>
              <w:bCs/>
              <w:szCs w:val="26"/>
            </w:rPr>
            <w:t>2.6.2 多元信仰体系</w:t>
          </w:r>
          <w:r>
            <w:tab/>
          </w:r>
          <w:r>
            <w:fldChar w:fldCharType="begin"/>
          </w:r>
          <w:r>
            <w:instrText xml:space="preserve"> PAGEREF _Toc16259 \h </w:instrText>
          </w:r>
          <w:r>
            <w:fldChar w:fldCharType="separate"/>
          </w:r>
          <w:r>
            <w:t>24</w:t>
          </w:r>
          <w:r>
            <w:fldChar w:fldCharType="end"/>
          </w:r>
          <w:r>
            <w:fldChar w:fldCharType="end"/>
          </w:r>
        </w:p>
        <w:p w14:paraId="5F7A96EF">
          <w:pPr>
            <w:pStyle w:val="8"/>
            <w:tabs>
              <w:tab w:val="right" w:leader="dot" w:pos="9026"/>
            </w:tabs>
          </w:pPr>
          <w:r>
            <w:fldChar w:fldCharType="begin"/>
          </w:r>
          <w:r>
            <w:instrText xml:space="preserve"> HYPERLINK \l _Toc17863 </w:instrText>
          </w:r>
          <w:r>
            <w:fldChar w:fldCharType="separate"/>
          </w:r>
          <w:r>
            <w:rPr>
              <w:rFonts w:ascii="黑体" w:hAnsi="黑体" w:eastAsia="黑体" w:cs="黑体"/>
              <w:bCs/>
              <w:szCs w:val="26"/>
            </w:rPr>
            <w:t>2.6.3 信仰的社会功能</w:t>
          </w:r>
          <w:r>
            <w:tab/>
          </w:r>
          <w:r>
            <w:fldChar w:fldCharType="begin"/>
          </w:r>
          <w:r>
            <w:instrText xml:space="preserve"> PAGEREF _Toc17863 \h </w:instrText>
          </w:r>
          <w:r>
            <w:fldChar w:fldCharType="separate"/>
          </w:r>
          <w:r>
            <w:t>24</w:t>
          </w:r>
          <w:r>
            <w:fldChar w:fldCharType="end"/>
          </w:r>
          <w:r>
            <w:fldChar w:fldCharType="end"/>
          </w:r>
        </w:p>
        <w:p w14:paraId="4B2FB5D9">
          <w:pPr>
            <w:pStyle w:val="12"/>
            <w:tabs>
              <w:tab w:val="right" w:leader="dot" w:pos="9026"/>
            </w:tabs>
          </w:pPr>
          <w:r>
            <w:fldChar w:fldCharType="begin"/>
          </w:r>
          <w:r>
            <w:instrText xml:space="preserve"> HYPERLINK \l _Toc20833 </w:instrText>
          </w:r>
          <w:r>
            <w:fldChar w:fldCharType="separate"/>
          </w:r>
          <w:r>
            <w:rPr>
              <w:rFonts w:ascii="黑体" w:hAnsi="黑体" w:eastAsia="黑体" w:cs="黑体"/>
              <w:bCs/>
              <w:szCs w:val="28"/>
            </w:rPr>
            <w:t>本章小结</w:t>
          </w:r>
          <w:r>
            <w:tab/>
          </w:r>
          <w:r>
            <w:fldChar w:fldCharType="begin"/>
          </w:r>
          <w:r>
            <w:instrText xml:space="preserve"> PAGEREF _Toc20833 \h </w:instrText>
          </w:r>
          <w:r>
            <w:fldChar w:fldCharType="separate"/>
          </w:r>
          <w:r>
            <w:t>24</w:t>
          </w:r>
          <w:r>
            <w:fldChar w:fldCharType="end"/>
          </w:r>
          <w:r>
            <w:fldChar w:fldCharType="end"/>
          </w:r>
        </w:p>
        <w:p w14:paraId="43CE737A">
          <w:pPr>
            <w:pStyle w:val="12"/>
            <w:tabs>
              <w:tab w:val="right" w:leader="dot" w:pos="9026"/>
            </w:tabs>
          </w:pPr>
          <w:r>
            <w:fldChar w:fldCharType="begin"/>
          </w:r>
          <w:r>
            <w:instrText xml:space="preserve"> HYPERLINK \l _Toc31505 </w:instrText>
          </w:r>
          <w:r>
            <w:fldChar w:fldCharType="separate"/>
          </w:r>
          <w:r>
            <w:rPr>
              <w:rFonts w:ascii="黑体" w:hAnsi="黑体" w:eastAsia="黑体" w:cs="黑体"/>
              <w:bCs/>
              <w:szCs w:val="28"/>
            </w:rPr>
            <w:t>思考与练习</w:t>
          </w:r>
          <w:r>
            <w:tab/>
          </w:r>
          <w:r>
            <w:fldChar w:fldCharType="begin"/>
          </w:r>
          <w:r>
            <w:instrText xml:space="preserve"> PAGEREF _Toc31505 \h </w:instrText>
          </w:r>
          <w:r>
            <w:fldChar w:fldCharType="separate"/>
          </w:r>
          <w:r>
            <w:t>25</w:t>
          </w:r>
          <w:r>
            <w:fldChar w:fldCharType="end"/>
          </w:r>
          <w:r>
            <w:fldChar w:fldCharType="end"/>
          </w:r>
        </w:p>
        <w:p w14:paraId="70A4EBF8">
          <w:pPr>
            <w:pStyle w:val="12"/>
            <w:tabs>
              <w:tab w:val="right" w:leader="dot" w:pos="9026"/>
            </w:tabs>
          </w:pPr>
          <w:r>
            <w:fldChar w:fldCharType="begin"/>
          </w:r>
          <w:r>
            <w:instrText xml:space="preserve"> HYPERLINK \l _Toc24951 </w:instrText>
          </w:r>
          <w:r>
            <w:fldChar w:fldCharType="separate"/>
          </w:r>
          <w:r>
            <w:rPr>
              <w:rFonts w:ascii="黑体" w:hAnsi="黑体" w:eastAsia="黑体" w:cs="黑体"/>
              <w:bCs/>
              <w:szCs w:val="28"/>
            </w:rPr>
            <w:t>知识卡片：地戏面具色彩象征</w:t>
          </w:r>
          <w:r>
            <w:tab/>
          </w:r>
          <w:r>
            <w:fldChar w:fldCharType="begin"/>
          </w:r>
          <w:r>
            <w:instrText xml:space="preserve"> PAGEREF _Toc24951 \h </w:instrText>
          </w:r>
          <w:r>
            <w:fldChar w:fldCharType="separate"/>
          </w:r>
          <w:r>
            <w:t>25</w:t>
          </w:r>
          <w:r>
            <w:fldChar w:fldCharType="end"/>
          </w:r>
          <w:r>
            <w:fldChar w:fldCharType="end"/>
          </w:r>
        </w:p>
        <w:p w14:paraId="472426A1">
          <w:pPr>
            <w:pStyle w:val="10"/>
            <w:tabs>
              <w:tab w:val="right" w:leader="dot" w:pos="9026"/>
            </w:tabs>
          </w:pPr>
          <w:r>
            <w:fldChar w:fldCharType="begin"/>
          </w:r>
          <w:r>
            <w:instrText xml:space="preserve"> HYPERLINK \l _Toc26895 </w:instrText>
          </w:r>
          <w:r>
            <w:fldChar w:fldCharType="separate"/>
          </w:r>
          <w:r>
            <w:rPr>
              <w:rFonts w:ascii="黑体" w:hAnsi="黑体" w:eastAsia="黑体" w:cs="黑体"/>
              <w:bCs/>
              <w:szCs w:val="32"/>
            </w:rPr>
            <w:t>第 3 章  屯堡文化的当代价值</w:t>
          </w:r>
          <w:r>
            <w:tab/>
          </w:r>
          <w:r>
            <w:fldChar w:fldCharType="begin"/>
          </w:r>
          <w:r>
            <w:instrText xml:space="preserve"> PAGEREF _Toc26895 \h </w:instrText>
          </w:r>
          <w:r>
            <w:fldChar w:fldCharType="separate"/>
          </w:r>
          <w:r>
            <w:t>26</w:t>
          </w:r>
          <w:r>
            <w:fldChar w:fldCharType="end"/>
          </w:r>
          <w:r>
            <w:fldChar w:fldCharType="end"/>
          </w:r>
        </w:p>
        <w:p w14:paraId="77746C08">
          <w:pPr>
            <w:pStyle w:val="12"/>
            <w:tabs>
              <w:tab w:val="right" w:leader="dot" w:pos="9026"/>
            </w:tabs>
          </w:pPr>
          <w:r>
            <w:fldChar w:fldCharType="begin"/>
          </w:r>
          <w:r>
            <w:instrText xml:space="preserve"> HYPERLINK \l _Toc12893 </w:instrText>
          </w:r>
          <w:r>
            <w:fldChar w:fldCharType="separate"/>
          </w:r>
          <w:r>
            <w:rPr>
              <w:rFonts w:ascii="黑体" w:hAnsi="黑体" w:eastAsia="黑体" w:cs="黑体"/>
              <w:bCs/>
              <w:szCs w:val="28"/>
            </w:rPr>
            <w:t>学习目标</w:t>
          </w:r>
          <w:r>
            <w:tab/>
          </w:r>
          <w:r>
            <w:fldChar w:fldCharType="begin"/>
          </w:r>
          <w:r>
            <w:instrText xml:space="preserve"> PAGEREF _Toc12893 \h </w:instrText>
          </w:r>
          <w:r>
            <w:fldChar w:fldCharType="separate"/>
          </w:r>
          <w:r>
            <w:t>26</w:t>
          </w:r>
          <w:r>
            <w:fldChar w:fldCharType="end"/>
          </w:r>
          <w:r>
            <w:fldChar w:fldCharType="end"/>
          </w:r>
        </w:p>
        <w:p w14:paraId="4B127116">
          <w:pPr>
            <w:pStyle w:val="12"/>
            <w:tabs>
              <w:tab w:val="right" w:leader="dot" w:pos="9026"/>
            </w:tabs>
          </w:pPr>
          <w:r>
            <w:fldChar w:fldCharType="begin"/>
          </w:r>
          <w:r>
            <w:instrText xml:space="preserve"> HYPERLINK \l _Toc17638 </w:instrText>
          </w:r>
          <w:r>
            <w:fldChar w:fldCharType="separate"/>
          </w:r>
          <w:r>
            <w:rPr>
              <w:rFonts w:ascii="黑体" w:hAnsi="黑体" w:eastAsia="黑体" w:cs="黑体"/>
              <w:bCs/>
              <w:szCs w:val="28"/>
            </w:rPr>
            <w:t>导入案例：从"空心村"到"网红村"</w:t>
          </w:r>
          <w:r>
            <w:tab/>
          </w:r>
          <w:r>
            <w:fldChar w:fldCharType="begin"/>
          </w:r>
          <w:r>
            <w:instrText xml:space="preserve"> PAGEREF _Toc17638 \h </w:instrText>
          </w:r>
          <w:r>
            <w:fldChar w:fldCharType="separate"/>
          </w:r>
          <w:r>
            <w:t>26</w:t>
          </w:r>
          <w:r>
            <w:fldChar w:fldCharType="end"/>
          </w:r>
          <w:r>
            <w:fldChar w:fldCharType="end"/>
          </w:r>
        </w:p>
        <w:p w14:paraId="7230FC89">
          <w:pPr>
            <w:pStyle w:val="12"/>
            <w:tabs>
              <w:tab w:val="right" w:leader="dot" w:pos="9026"/>
            </w:tabs>
          </w:pPr>
          <w:r>
            <w:fldChar w:fldCharType="begin"/>
          </w:r>
          <w:r>
            <w:instrText xml:space="preserve"> HYPERLINK \l _Toc21981 </w:instrText>
          </w:r>
          <w:r>
            <w:fldChar w:fldCharType="separate"/>
          </w:r>
          <w:r>
            <w:rPr>
              <w:rFonts w:ascii="黑体" w:hAnsi="黑体" w:eastAsia="黑体" w:cs="黑体"/>
              <w:bCs/>
              <w:szCs w:val="28"/>
            </w:rPr>
            <w:t>3.1 文化遗产价值评估框架</w:t>
          </w:r>
          <w:r>
            <w:tab/>
          </w:r>
          <w:r>
            <w:fldChar w:fldCharType="begin"/>
          </w:r>
          <w:r>
            <w:instrText xml:space="preserve"> PAGEREF _Toc21981 \h </w:instrText>
          </w:r>
          <w:r>
            <w:fldChar w:fldCharType="separate"/>
          </w:r>
          <w:r>
            <w:t>26</w:t>
          </w:r>
          <w:r>
            <w:fldChar w:fldCharType="end"/>
          </w:r>
          <w:r>
            <w:fldChar w:fldCharType="end"/>
          </w:r>
        </w:p>
        <w:p w14:paraId="136969F7">
          <w:pPr>
            <w:pStyle w:val="8"/>
            <w:tabs>
              <w:tab w:val="right" w:leader="dot" w:pos="9026"/>
            </w:tabs>
          </w:pPr>
          <w:r>
            <w:fldChar w:fldCharType="begin"/>
          </w:r>
          <w:r>
            <w:instrText xml:space="preserve"> HYPERLINK \l _Toc19823 </w:instrText>
          </w:r>
          <w:r>
            <w:fldChar w:fldCharType="separate"/>
          </w:r>
          <w:r>
            <w:rPr>
              <w:rFonts w:ascii="黑体" w:hAnsi="黑体" w:eastAsia="黑体" w:cs="黑体"/>
              <w:bCs/>
              <w:szCs w:val="26"/>
            </w:rPr>
            <w:t>3.1.1 世界遗产的价值标准</w:t>
          </w:r>
          <w:r>
            <w:tab/>
          </w:r>
          <w:r>
            <w:fldChar w:fldCharType="begin"/>
          </w:r>
          <w:r>
            <w:instrText xml:space="preserve"> PAGEREF _Toc19823 \h </w:instrText>
          </w:r>
          <w:r>
            <w:fldChar w:fldCharType="separate"/>
          </w:r>
          <w:r>
            <w:t>26</w:t>
          </w:r>
          <w:r>
            <w:fldChar w:fldCharType="end"/>
          </w:r>
          <w:r>
            <w:fldChar w:fldCharType="end"/>
          </w:r>
        </w:p>
        <w:p w14:paraId="769A21FC">
          <w:pPr>
            <w:pStyle w:val="8"/>
            <w:tabs>
              <w:tab w:val="right" w:leader="dot" w:pos="9026"/>
            </w:tabs>
          </w:pPr>
          <w:r>
            <w:fldChar w:fldCharType="begin"/>
          </w:r>
          <w:r>
            <w:instrText xml:space="preserve"> HYPERLINK \l _Toc6854 </w:instrText>
          </w:r>
          <w:r>
            <w:fldChar w:fldCharType="separate"/>
          </w:r>
          <w:r>
            <w:rPr>
              <w:rFonts w:ascii="黑体" w:hAnsi="黑体" w:eastAsia="黑体" w:cs="黑体"/>
              <w:bCs/>
              <w:szCs w:val="26"/>
            </w:rPr>
            <w:t>3.1.2 中国文物保护的价值观</w:t>
          </w:r>
          <w:r>
            <w:tab/>
          </w:r>
          <w:r>
            <w:fldChar w:fldCharType="begin"/>
          </w:r>
          <w:r>
            <w:instrText xml:space="preserve"> PAGEREF _Toc6854 \h </w:instrText>
          </w:r>
          <w:r>
            <w:fldChar w:fldCharType="separate"/>
          </w:r>
          <w:r>
            <w:t>27</w:t>
          </w:r>
          <w:r>
            <w:fldChar w:fldCharType="end"/>
          </w:r>
          <w:r>
            <w:fldChar w:fldCharType="end"/>
          </w:r>
        </w:p>
        <w:p w14:paraId="17349844">
          <w:pPr>
            <w:pStyle w:val="8"/>
            <w:tabs>
              <w:tab w:val="right" w:leader="dot" w:pos="9026"/>
            </w:tabs>
          </w:pPr>
          <w:r>
            <w:fldChar w:fldCharType="begin"/>
          </w:r>
          <w:r>
            <w:instrText xml:space="preserve"> HYPERLINK \l _Toc15434 </w:instrText>
          </w:r>
          <w:r>
            <w:fldChar w:fldCharType="separate"/>
          </w:r>
          <w:r>
            <w:rPr>
              <w:rFonts w:ascii="黑体" w:hAnsi="黑体" w:eastAsia="黑体" w:cs="黑体"/>
              <w:bCs/>
              <w:szCs w:val="26"/>
            </w:rPr>
            <w:t>3.1.3 非物质文化遗产的价值维度</w:t>
          </w:r>
          <w:r>
            <w:tab/>
          </w:r>
          <w:r>
            <w:fldChar w:fldCharType="begin"/>
          </w:r>
          <w:r>
            <w:instrText xml:space="preserve"> PAGEREF _Toc15434 \h </w:instrText>
          </w:r>
          <w:r>
            <w:fldChar w:fldCharType="separate"/>
          </w:r>
          <w:r>
            <w:t>27</w:t>
          </w:r>
          <w:r>
            <w:fldChar w:fldCharType="end"/>
          </w:r>
          <w:r>
            <w:fldChar w:fldCharType="end"/>
          </w:r>
        </w:p>
        <w:p w14:paraId="7B9884B3">
          <w:pPr>
            <w:pStyle w:val="12"/>
            <w:tabs>
              <w:tab w:val="right" w:leader="dot" w:pos="9026"/>
            </w:tabs>
          </w:pPr>
          <w:r>
            <w:fldChar w:fldCharType="begin"/>
          </w:r>
          <w:r>
            <w:instrText xml:space="preserve"> HYPERLINK \l _Toc2585 </w:instrText>
          </w:r>
          <w:r>
            <w:fldChar w:fldCharType="separate"/>
          </w:r>
          <w:r>
            <w:rPr>
              <w:rFonts w:ascii="黑体" w:hAnsi="黑体" w:eastAsia="黑体" w:cs="黑体"/>
              <w:bCs/>
              <w:szCs w:val="28"/>
            </w:rPr>
            <w:t>3.2 屯堡文化的历史价值</w:t>
          </w:r>
          <w:r>
            <w:tab/>
          </w:r>
          <w:r>
            <w:fldChar w:fldCharType="begin"/>
          </w:r>
          <w:r>
            <w:instrText xml:space="preserve"> PAGEREF _Toc2585 \h </w:instrText>
          </w:r>
          <w:r>
            <w:fldChar w:fldCharType="separate"/>
          </w:r>
          <w:r>
            <w:t>27</w:t>
          </w:r>
          <w:r>
            <w:fldChar w:fldCharType="end"/>
          </w:r>
          <w:r>
            <w:fldChar w:fldCharType="end"/>
          </w:r>
        </w:p>
        <w:p w14:paraId="2A9057BE">
          <w:pPr>
            <w:pStyle w:val="8"/>
            <w:tabs>
              <w:tab w:val="right" w:leader="dot" w:pos="9026"/>
            </w:tabs>
          </w:pPr>
          <w:r>
            <w:fldChar w:fldCharType="begin"/>
          </w:r>
          <w:r>
            <w:instrText xml:space="preserve"> HYPERLINK \l _Toc23754 </w:instrText>
          </w:r>
          <w:r>
            <w:fldChar w:fldCharType="separate"/>
          </w:r>
          <w:r>
            <w:rPr>
              <w:rFonts w:ascii="黑体" w:hAnsi="黑体" w:eastAsia="黑体" w:cs="黑体"/>
              <w:bCs/>
              <w:szCs w:val="26"/>
            </w:rPr>
            <w:t>3.2.1 明代军事制度的活态证据</w:t>
          </w:r>
          <w:r>
            <w:tab/>
          </w:r>
          <w:r>
            <w:fldChar w:fldCharType="begin"/>
          </w:r>
          <w:r>
            <w:instrText xml:space="preserve"> PAGEREF _Toc23754 \h </w:instrText>
          </w:r>
          <w:r>
            <w:fldChar w:fldCharType="separate"/>
          </w:r>
          <w:r>
            <w:t>27</w:t>
          </w:r>
          <w:r>
            <w:fldChar w:fldCharType="end"/>
          </w:r>
          <w:r>
            <w:fldChar w:fldCharType="end"/>
          </w:r>
        </w:p>
        <w:p w14:paraId="3BD0F19D">
          <w:pPr>
            <w:pStyle w:val="8"/>
            <w:tabs>
              <w:tab w:val="right" w:leader="dot" w:pos="9026"/>
            </w:tabs>
          </w:pPr>
          <w:r>
            <w:fldChar w:fldCharType="begin"/>
          </w:r>
          <w:r>
            <w:instrText xml:space="preserve"> HYPERLINK \l _Toc30411 </w:instrText>
          </w:r>
          <w:r>
            <w:fldChar w:fldCharType="separate"/>
          </w:r>
          <w:r>
            <w:rPr>
              <w:rFonts w:ascii="黑体" w:hAnsi="黑体" w:eastAsia="黑体" w:cs="黑体"/>
              <w:bCs/>
              <w:szCs w:val="26"/>
            </w:rPr>
            <w:t>3.2.2 汉族移民史的关键样本</w:t>
          </w:r>
          <w:r>
            <w:tab/>
          </w:r>
          <w:r>
            <w:fldChar w:fldCharType="begin"/>
          </w:r>
          <w:r>
            <w:instrText xml:space="preserve"> PAGEREF _Toc30411 \h </w:instrText>
          </w:r>
          <w:r>
            <w:fldChar w:fldCharType="separate"/>
          </w:r>
          <w:r>
            <w:t>27</w:t>
          </w:r>
          <w:r>
            <w:fldChar w:fldCharType="end"/>
          </w:r>
          <w:r>
            <w:fldChar w:fldCharType="end"/>
          </w:r>
        </w:p>
        <w:p w14:paraId="5D186F31">
          <w:pPr>
            <w:pStyle w:val="8"/>
            <w:tabs>
              <w:tab w:val="right" w:leader="dot" w:pos="9026"/>
            </w:tabs>
          </w:pPr>
          <w:r>
            <w:fldChar w:fldCharType="begin"/>
          </w:r>
          <w:r>
            <w:instrText xml:space="preserve"> HYPERLINK \l _Toc24381 </w:instrText>
          </w:r>
          <w:r>
            <w:fldChar w:fldCharType="separate"/>
          </w:r>
          <w:r>
            <w:rPr>
              <w:rFonts w:ascii="黑体" w:hAnsi="黑体" w:eastAsia="黑体" w:cs="黑体"/>
              <w:bCs/>
              <w:szCs w:val="26"/>
            </w:rPr>
            <w:t>3.2.3 民族交往交流交融的生动范例</w:t>
          </w:r>
          <w:r>
            <w:tab/>
          </w:r>
          <w:r>
            <w:fldChar w:fldCharType="begin"/>
          </w:r>
          <w:r>
            <w:instrText xml:space="preserve"> PAGEREF _Toc24381 \h </w:instrText>
          </w:r>
          <w:r>
            <w:fldChar w:fldCharType="separate"/>
          </w:r>
          <w:r>
            <w:t>28</w:t>
          </w:r>
          <w:r>
            <w:fldChar w:fldCharType="end"/>
          </w:r>
          <w:r>
            <w:fldChar w:fldCharType="end"/>
          </w:r>
        </w:p>
        <w:p w14:paraId="4834D42F">
          <w:pPr>
            <w:pStyle w:val="12"/>
            <w:tabs>
              <w:tab w:val="right" w:leader="dot" w:pos="9026"/>
            </w:tabs>
          </w:pPr>
          <w:r>
            <w:fldChar w:fldCharType="begin"/>
          </w:r>
          <w:r>
            <w:instrText xml:space="preserve"> HYPERLINK \l _Toc31862 </w:instrText>
          </w:r>
          <w:r>
            <w:fldChar w:fldCharType="separate"/>
          </w:r>
          <w:r>
            <w:rPr>
              <w:rFonts w:ascii="黑体" w:hAnsi="黑体" w:eastAsia="黑体" w:cs="黑体"/>
              <w:bCs/>
              <w:szCs w:val="28"/>
            </w:rPr>
            <w:t>3.3 屯堡文化的艺术价值</w:t>
          </w:r>
          <w:r>
            <w:tab/>
          </w:r>
          <w:r>
            <w:fldChar w:fldCharType="begin"/>
          </w:r>
          <w:r>
            <w:instrText xml:space="preserve"> PAGEREF _Toc31862 \h </w:instrText>
          </w:r>
          <w:r>
            <w:fldChar w:fldCharType="separate"/>
          </w:r>
          <w:r>
            <w:t>28</w:t>
          </w:r>
          <w:r>
            <w:fldChar w:fldCharType="end"/>
          </w:r>
          <w:r>
            <w:fldChar w:fldCharType="end"/>
          </w:r>
        </w:p>
        <w:p w14:paraId="1D8031C2">
          <w:pPr>
            <w:pStyle w:val="8"/>
            <w:tabs>
              <w:tab w:val="right" w:leader="dot" w:pos="9026"/>
            </w:tabs>
          </w:pPr>
          <w:r>
            <w:fldChar w:fldCharType="begin"/>
          </w:r>
          <w:r>
            <w:instrText xml:space="preserve"> HYPERLINK \l _Toc29518 </w:instrText>
          </w:r>
          <w:r>
            <w:fldChar w:fldCharType="separate"/>
          </w:r>
          <w:r>
            <w:rPr>
              <w:rFonts w:ascii="黑体" w:hAnsi="黑体" w:eastAsia="黑体" w:cs="黑体"/>
              <w:bCs/>
              <w:szCs w:val="26"/>
            </w:rPr>
            <w:t>3.3.1 地戏的艺术独特性</w:t>
          </w:r>
          <w:r>
            <w:tab/>
          </w:r>
          <w:r>
            <w:fldChar w:fldCharType="begin"/>
          </w:r>
          <w:r>
            <w:instrText xml:space="preserve"> PAGEREF _Toc29518 \h </w:instrText>
          </w:r>
          <w:r>
            <w:fldChar w:fldCharType="separate"/>
          </w:r>
          <w:r>
            <w:t>28</w:t>
          </w:r>
          <w:r>
            <w:fldChar w:fldCharType="end"/>
          </w:r>
          <w:r>
            <w:fldChar w:fldCharType="end"/>
          </w:r>
        </w:p>
        <w:p w14:paraId="1FDB09C1">
          <w:pPr>
            <w:pStyle w:val="8"/>
            <w:tabs>
              <w:tab w:val="right" w:leader="dot" w:pos="9026"/>
            </w:tabs>
          </w:pPr>
          <w:r>
            <w:fldChar w:fldCharType="begin"/>
          </w:r>
          <w:r>
            <w:instrText xml:space="preserve"> HYPERLINK \l _Toc27819 </w:instrText>
          </w:r>
          <w:r>
            <w:fldChar w:fldCharType="separate"/>
          </w:r>
          <w:r>
            <w:rPr>
              <w:rFonts w:ascii="黑体" w:hAnsi="黑体" w:eastAsia="黑体" w:cs="黑体"/>
              <w:bCs/>
              <w:szCs w:val="26"/>
            </w:rPr>
            <w:t>3.3.2 屯堡建筑的美学特征</w:t>
          </w:r>
          <w:r>
            <w:tab/>
          </w:r>
          <w:r>
            <w:fldChar w:fldCharType="begin"/>
          </w:r>
          <w:r>
            <w:instrText xml:space="preserve"> PAGEREF _Toc27819 \h </w:instrText>
          </w:r>
          <w:r>
            <w:fldChar w:fldCharType="separate"/>
          </w:r>
          <w:r>
            <w:t>28</w:t>
          </w:r>
          <w:r>
            <w:fldChar w:fldCharType="end"/>
          </w:r>
          <w:r>
            <w:fldChar w:fldCharType="end"/>
          </w:r>
        </w:p>
        <w:p w14:paraId="2DE44CDF">
          <w:pPr>
            <w:pStyle w:val="8"/>
            <w:tabs>
              <w:tab w:val="right" w:leader="dot" w:pos="9026"/>
            </w:tabs>
          </w:pPr>
          <w:r>
            <w:fldChar w:fldCharType="begin"/>
          </w:r>
          <w:r>
            <w:instrText xml:space="preserve"> HYPERLINK \l _Toc19092 </w:instrText>
          </w:r>
          <w:r>
            <w:fldChar w:fldCharType="separate"/>
          </w:r>
          <w:r>
            <w:rPr>
              <w:rFonts w:ascii="黑体" w:hAnsi="黑体" w:eastAsia="黑体" w:cs="黑体"/>
              <w:bCs/>
              <w:szCs w:val="26"/>
            </w:rPr>
            <w:t>3.3.3 屯堡服饰与刺绣艺术</w:t>
          </w:r>
          <w:r>
            <w:tab/>
          </w:r>
          <w:r>
            <w:fldChar w:fldCharType="begin"/>
          </w:r>
          <w:r>
            <w:instrText xml:space="preserve"> PAGEREF _Toc19092 \h </w:instrText>
          </w:r>
          <w:r>
            <w:fldChar w:fldCharType="separate"/>
          </w:r>
          <w:r>
            <w:t>29</w:t>
          </w:r>
          <w:r>
            <w:fldChar w:fldCharType="end"/>
          </w:r>
          <w:r>
            <w:fldChar w:fldCharType="end"/>
          </w:r>
        </w:p>
        <w:p w14:paraId="379702A4">
          <w:pPr>
            <w:pStyle w:val="12"/>
            <w:tabs>
              <w:tab w:val="right" w:leader="dot" w:pos="9026"/>
            </w:tabs>
          </w:pPr>
          <w:r>
            <w:fldChar w:fldCharType="begin"/>
          </w:r>
          <w:r>
            <w:instrText xml:space="preserve"> HYPERLINK \l _Toc26568 </w:instrText>
          </w:r>
          <w:r>
            <w:fldChar w:fldCharType="separate"/>
          </w:r>
          <w:r>
            <w:rPr>
              <w:rFonts w:ascii="黑体" w:hAnsi="黑体" w:eastAsia="黑体" w:cs="黑体"/>
              <w:bCs/>
              <w:szCs w:val="28"/>
            </w:rPr>
            <w:t>3.4 屯堡文化的科学价值</w:t>
          </w:r>
          <w:r>
            <w:tab/>
          </w:r>
          <w:r>
            <w:fldChar w:fldCharType="begin"/>
          </w:r>
          <w:r>
            <w:instrText xml:space="preserve"> PAGEREF _Toc26568 \h </w:instrText>
          </w:r>
          <w:r>
            <w:fldChar w:fldCharType="separate"/>
          </w:r>
          <w:r>
            <w:t>29</w:t>
          </w:r>
          <w:r>
            <w:fldChar w:fldCharType="end"/>
          </w:r>
          <w:r>
            <w:fldChar w:fldCharType="end"/>
          </w:r>
        </w:p>
        <w:p w14:paraId="58AA7A90">
          <w:pPr>
            <w:pStyle w:val="8"/>
            <w:tabs>
              <w:tab w:val="right" w:leader="dot" w:pos="9026"/>
            </w:tabs>
          </w:pPr>
          <w:r>
            <w:fldChar w:fldCharType="begin"/>
          </w:r>
          <w:r>
            <w:instrText xml:space="preserve"> HYPERLINK \l _Toc27793 </w:instrText>
          </w:r>
          <w:r>
            <w:fldChar w:fldCharType="separate"/>
          </w:r>
          <w:r>
            <w:rPr>
              <w:rFonts w:ascii="黑体" w:hAnsi="黑体" w:eastAsia="黑体" w:cs="黑体"/>
              <w:bCs/>
              <w:szCs w:val="26"/>
            </w:rPr>
            <w:t>3.4.1 古水利工程的科学智慧</w:t>
          </w:r>
          <w:r>
            <w:tab/>
          </w:r>
          <w:r>
            <w:fldChar w:fldCharType="begin"/>
          </w:r>
          <w:r>
            <w:instrText xml:space="preserve"> PAGEREF _Toc27793 \h </w:instrText>
          </w:r>
          <w:r>
            <w:fldChar w:fldCharType="separate"/>
          </w:r>
          <w:r>
            <w:t>29</w:t>
          </w:r>
          <w:r>
            <w:fldChar w:fldCharType="end"/>
          </w:r>
          <w:r>
            <w:fldChar w:fldCharType="end"/>
          </w:r>
        </w:p>
        <w:p w14:paraId="1B610E88">
          <w:pPr>
            <w:pStyle w:val="8"/>
            <w:tabs>
              <w:tab w:val="right" w:leader="dot" w:pos="9026"/>
            </w:tabs>
          </w:pPr>
          <w:r>
            <w:fldChar w:fldCharType="begin"/>
          </w:r>
          <w:r>
            <w:instrText xml:space="preserve"> HYPERLINK \l _Toc1400 </w:instrText>
          </w:r>
          <w:r>
            <w:fldChar w:fldCharType="separate"/>
          </w:r>
          <w:r>
            <w:rPr>
              <w:rFonts w:ascii="黑体" w:hAnsi="黑体" w:eastAsia="黑体" w:cs="黑体"/>
              <w:bCs/>
              <w:szCs w:val="26"/>
            </w:rPr>
            <w:t>3.4.2 石木建筑的技术体系</w:t>
          </w:r>
          <w:r>
            <w:tab/>
          </w:r>
          <w:r>
            <w:fldChar w:fldCharType="begin"/>
          </w:r>
          <w:r>
            <w:instrText xml:space="preserve"> PAGEREF _Toc1400 \h </w:instrText>
          </w:r>
          <w:r>
            <w:fldChar w:fldCharType="separate"/>
          </w:r>
          <w:r>
            <w:t>29</w:t>
          </w:r>
          <w:r>
            <w:fldChar w:fldCharType="end"/>
          </w:r>
          <w:r>
            <w:fldChar w:fldCharType="end"/>
          </w:r>
        </w:p>
        <w:p w14:paraId="0D667B0B">
          <w:pPr>
            <w:pStyle w:val="8"/>
            <w:tabs>
              <w:tab w:val="right" w:leader="dot" w:pos="9026"/>
            </w:tabs>
          </w:pPr>
          <w:r>
            <w:fldChar w:fldCharType="begin"/>
          </w:r>
          <w:r>
            <w:instrText xml:space="preserve"> HYPERLINK \l _Toc20394 </w:instrText>
          </w:r>
          <w:r>
            <w:fldChar w:fldCharType="separate"/>
          </w:r>
          <w:r>
            <w:rPr>
              <w:rFonts w:ascii="黑体" w:hAnsi="黑体" w:eastAsia="黑体" w:cs="黑体"/>
              <w:bCs/>
              <w:szCs w:val="26"/>
            </w:rPr>
            <w:t>3.4.3 农业文化遗产价值</w:t>
          </w:r>
          <w:r>
            <w:tab/>
          </w:r>
          <w:r>
            <w:fldChar w:fldCharType="begin"/>
          </w:r>
          <w:r>
            <w:instrText xml:space="preserve"> PAGEREF _Toc20394 \h </w:instrText>
          </w:r>
          <w:r>
            <w:fldChar w:fldCharType="separate"/>
          </w:r>
          <w:r>
            <w:t>30</w:t>
          </w:r>
          <w:r>
            <w:fldChar w:fldCharType="end"/>
          </w:r>
          <w:r>
            <w:fldChar w:fldCharType="end"/>
          </w:r>
        </w:p>
        <w:p w14:paraId="77231077">
          <w:pPr>
            <w:pStyle w:val="12"/>
            <w:tabs>
              <w:tab w:val="right" w:leader="dot" w:pos="9026"/>
            </w:tabs>
          </w:pPr>
          <w:r>
            <w:fldChar w:fldCharType="begin"/>
          </w:r>
          <w:r>
            <w:instrText xml:space="preserve"> HYPERLINK \l _Toc21072 </w:instrText>
          </w:r>
          <w:r>
            <w:fldChar w:fldCharType="separate"/>
          </w:r>
          <w:r>
            <w:rPr>
              <w:rFonts w:ascii="黑体" w:hAnsi="黑体" w:eastAsia="黑体" w:cs="黑体"/>
              <w:bCs/>
              <w:szCs w:val="28"/>
            </w:rPr>
            <w:t>3.5 屯堡文化的经济价值</w:t>
          </w:r>
          <w:r>
            <w:tab/>
          </w:r>
          <w:r>
            <w:fldChar w:fldCharType="begin"/>
          </w:r>
          <w:r>
            <w:instrText xml:space="preserve"> PAGEREF _Toc21072 \h </w:instrText>
          </w:r>
          <w:r>
            <w:fldChar w:fldCharType="separate"/>
          </w:r>
          <w:r>
            <w:t>30</w:t>
          </w:r>
          <w:r>
            <w:fldChar w:fldCharType="end"/>
          </w:r>
          <w:r>
            <w:fldChar w:fldCharType="end"/>
          </w:r>
        </w:p>
        <w:p w14:paraId="7CAB7300">
          <w:pPr>
            <w:pStyle w:val="8"/>
            <w:tabs>
              <w:tab w:val="right" w:leader="dot" w:pos="9026"/>
            </w:tabs>
          </w:pPr>
          <w:r>
            <w:fldChar w:fldCharType="begin"/>
          </w:r>
          <w:r>
            <w:instrText xml:space="preserve"> HYPERLINK \l _Toc1760 </w:instrText>
          </w:r>
          <w:r>
            <w:fldChar w:fldCharType="separate"/>
          </w:r>
          <w:r>
            <w:rPr>
              <w:rFonts w:ascii="黑体" w:hAnsi="黑体" w:eastAsia="黑体" w:cs="黑体"/>
              <w:bCs/>
              <w:szCs w:val="26"/>
            </w:rPr>
            <w:t>3.5.1 文化旅游的核心资源</w:t>
          </w:r>
          <w:r>
            <w:tab/>
          </w:r>
          <w:r>
            <w:fldChar w:fldCharType="begin"/>
          </w:r>
          <w:r>
            <w:instrText xml:space="preserve"> PAGEREF _Toc1760 \h </w:instrText>
          </w:r>
          <w:r>
            <w:fldChar w:fldCharType="separate"/>
          </w:r>
          <w:r>
            <w:t>30</w:t>
          </w:r>
          <w:r>
            <w:fldChar w:fldCharType="end"/>
          </w:r>
          <w:r>
            <w:fldChar w:fldCharType="end"/>
          </w:r>
        </w:p>
        <w:p w14:paraId="6E90A0A7">
          <w:pPr>
            <w:pStyle w:val="8"/>
            <w:tabs>
              <w:tab w:val="right" w:leader="dot" w:pos="9026"/>
            </w:tabs>
          </w:pPr>
          <w:r>
            <w:fldChar w:fldCharType="begin"/>
          </w:r>
          <w:r>
            <w:instrText xml:space="preserve"> HYPERLINK \l _Toc21276 </w:instrText>
          </w:r>
          <w:r>
            <w:fldChar w:fldCharType="separate"/>
          </w:r>
          <w:r>
            <w:rPr>
              <w:rFonts w:ascii="黑体" w:hAnsi="黑体" w:eastAsia="黑体" w:cs="黑体"/>
              <w:bCs/>
              <w:szCs w:val="26"/>
            </w:rPr>
            <w:t>3.5.2 文创产业的创意源泉</w:t>
          </w:r>
          <w:r>
            <w:tab/>
          </w:r>
          <w:r>
            <w:fldChar w:fldCharType="begin"/>
          </w:r>
          <w:r>
            <w:instrText xml:space="preserve"> PAGEREF _Toc21276 \h </w:instrText>
          </w:r>
          <w:r>
            <w:fldChar w:fldCharType="separate"/>
          </w:r>
          <w:r>
            <w:t>30</w:t>
          </w:r>
          <w:r>
            <w:fldChar w:fldCharType="end"/>
          </w:r>
          <w:r>
            <w:fldChar w:fldCharType="end"/>
          </w:r>
        </w:p>
        <w:p w14:paraId="54C7E06D">
          <w:pPr>
            <w:pStyle w:val="8"/>
            <w:tabs>
              <w:tab w:val="right" w:leader="dot" w:pos="9026"/>
            </w:tabs>
          </w:pPr>
          <w:r>
            <w:fldChar w:fldCharType="begin"/>
          </w:r>
          <w:r>
            <w:instrText xml:space="preserve"> HYPERLINK \l _Toc4691 </w:instrText>
          </w:r>
          <w:r>
            <w:fldChar w:fldCharType="separate"/>
          </w:r>
          <w:r>
            <w:rPr>
              <w:rFonts w:ascii="黑体" w:hAnsi="黑体" w:eastAsia="黑体" w:cs="黑体"/>
              <w:bCs/>
              <w:szCs w:val="26"/>
            </w:rPr>
            <w:t>3.5.3 研学旅行的优质目的地</w:t>
          </w:r>
          <w:r>
            <w:tab/>
          </w:r>
          <w:r>
            <w:fldChar w:fldCharType="begin"/>
          </w:r>
          <w:r>
            <w:instrText xml:space="preserve"> PAGEREF _Toc4691 \h </w:instrText>
          </w:r>
          <w:r>
            <w:fldChar w:fldCharType="separate"/>
          </w:r>
          <w:r>
            <w:t>30</w:t>
          </w:r>
          <w:r>
            <w:fldChar w:fldCharType="end"/>
          </w:r>
          <w:r>
            <w:fldChar w:fldCharType="end"/>
          </w:r>
        </w:p>
        <w:p w14:paraId="1558AFF6">
          <w:pPr>
            <w:pStyle w:val="12"/>
            <w:tabs>
              <w:tab w:val="right" w:leader="dot" w:pos="9026"/>
            </w:tabs>
          </w:pPr>
          <w:r>
            <w:fldChar w:fldCharType="begin"/>
          </w:r>
          <w:r>
            <w:instrText xml:space="preserve"> HYPERLINK \l _Toc991 </w:instrText>
          </w:r>
          <w:r>
            <w:fldChar w:fldCharType="separate"/>
          </w:r>
          <w:r>
            <w:rPr>
              <w:rFonts w:ascii="黑体" w:hAnsi="黑体" w:eastAsia="黑体" w:cs="黑体"/>
              <w:bCs/>
              <w:szCs w:val="28"/>
            </w:rPr>
            <w:t>3.6 屯堡文化的社会价值</w:t>
          </w:r>
          <w:r>
            <w:tab/>
          </w:r>
          <w:r>
            <w:fldChar w:fldCharType="begin"/>
          </w:r>
          <w:r>
            <w:instrText xml:space="preserve"> PAGEREF _Toc991 \h </w:instrText>
          </w:r>
          <w:r>
            <w:fldChar w:fldCharType="separate"/>
          </w:r>
          <w:r>
            <w:t>31</w:t>
          </w:r>
          <w:r>
            <w:fldChar w:fldCharType="end"/>
          </w:r>
          <w:r>
            <w:fldChar w:fldCharType="end"/>
          </w:r>
        </w:p>
        <w:p w14:paraId="01B1FC35">
          <w:pPr>
            <w:pStyle w:val="8"/>
            <w:tabs>
              <w:tab w:val="right" w:leader="dot" w:pos="9026"/>
            </w:tabs>
          </w:pPr>
          <w:r>
            <w:fldChar w:fldCharType="begin"/>
          </w:r>
          <w:r>
            <w:instrText xml:space="preserve"> HYPERLINK \l _Toc4308 </w:instrText>
          </w:r>
          <w:r>
            <w:fldChar w:fldCharType="separate"/>
          </w:r>
          <w:r>
            <w:rPr>
              <w:rFonts w:ascii="黑体" w:hAnsi="黑体" w:eastAsia="黑体" w:cs="黑体"/>
              <w:bCs/>
              <w:szCs w:val="26"/>
            </w:rPr>
            <w:t>3.6.1 铸牢中华民族共同体意识</w:t>
          </w:r>
          <w:r>
            <w:tab/>
          </w:r>
          <w:r>
            <w:fldChar w:fldCharType="begin"/>
          </w:r>
          <w:r>
            <w:instrText xml:space="preserve"> PAGEREF _Toc4308 \h </w:instrText>
          </w:r>
          <w:r>
            <w:fldChar w:fldCharType="separate"/>
          </w:r>
          <w:r>
            <w:t>31</w:t>
          </w:r>
          <w:r>
            <w:fldChar w:fldCharType="end"/>
          </w:r>
          <w:r>
            <w:fldChar w:fldCharType="end"/>
          </w:r>
        </w:p>
        <w:p w14:paraId="74C590E9">
          <w:pPr>
            <w:pStyle w:val="8"/>
            <w:tabs>
              <w:tab w:val="right" w:leader="dot" w:pos="9026"/>
            </w:tabs>
          </w:pPr>
          <w:r>
            <w:fldChar w:fldCharType="begin"/>
          </w:r>
          <w:r>
            <w:instrText xml:space="preserve"> HYPERLINK \l _Toc14233 </w:instrText>
          </w:r>
          <w:r>
            <w:fldChar w:fldCharType="separate"/>
          </w:r>
          <w:r>
            <w:rPr>
              <w:rFonts w:ascii="黑体" w:hAnsi="黑体" w:eastAsia="黑体" w:cs="黑体"/>
              <w:bCs/>
              <w:szCs w:val="26"/>
            </w:rPr>
            <w:t>3.6.2 乡村振兴的文化支撑</w:t>
          </w:r>
          <w:r>
            <w:tab/>
          </w:r>
          <w:r>
            <w:fldChar w:fldCharType="begin"/>
          </w:r>
          <w:r>
            <w:instrText xml:space="preserve"> PAGEREF _Toc14233 \h </w:instrText>
          </w:r>
          <w:r>
            <w:fldChar w:fldCharType="separate"/>
          </w:r>
          <w:r>
            <w:t>31</w:t>
          </w:r>
          <w:r>
            <w:fldChar w:fldCharType="end"/>
          </w:r>
          <w:r>
            <w:fldChar w:fldCharType="end"/>
          </w:r>
        </w:p>
        <w:p w14:paraId="58EED9FA">
          <w:pPr>
            <w:pStyle w:val="8"/>
            <w:tabs>
              <w:tab w:val="right" w:leader="dot" w:pos="9026"/>
            </w:tabs>
          </w:pPr>
          <w:r>
            <w:fldChar w:fldCharType="begin"/>
          </w:r>
          <w:r>
            <w:instrText xml:space="preserve"> HYPERLINK \l _Toc17169 </w:instrText>
          </w:r>
          <w:r>
            <w:fldChar w:fldCharType="separate"/>
          </w:r>
          <w:r>
            <w:rPr>
              <w:rFonts w:ascii="黑体" w:hAnsi="黑体" w:eastAsia="黑体" w:cs="黑体"/>
              <w:bCs/>
              <w:szCs w:val="26"/>
            </w:rPr>
            <w:t>3.6.3 文化自信的根基</w:t>
          </w:r>
          <w:r>
            <w:tab/>
          </w:r>
          <w:r>
            <w:fldChar w:fldCharType="begin"/>
          </w:r>
          <w:r>
            <w:instrText xml:space="preserve"> PAGEREF _Toc17169 \h </w:instrText>
          </w:r>
          <w:r>
            <w:fldChar w:fldCharType="separate"/>
          </w:r>
          <w:r>
            <w:t>31</w:t>
          </w:r>
          <w:r>
            <w:fldChar w:fldCharType="end"/>
          </w:r>
          <w:r>
            <w:fldChar w:fldCharType="end"/>
          </w:r>
        </w:p>
        <w:p w14:paraId="12E3BCAE">
          <w:pPr>
            <w:pStyle w:val="12"/>
            <w:tabs>
              <w:tab w:val="right" w:leader="dot" w:pos="9026"/>
            </w:tabs>
          </w:pPr>
          <w:r>
            <w:fldChar w:fldCharType="begin"/>
          </w:r>
          <w:r>
            <w:instrText xml:space="preserve"> HYPERLINK \l _Toc10046 </w:instrText>
          </w:r>
          <w:r>
            <w:fldChar w:fldCharType="separate"/>
          </w:r>
          <w:r>
            <w:rPr>
              <w:rFonts w:ascii="黑体" w:hAnsi="黑体" w:eastAsia="黑体" w:cs="黑体"/>
              <w:bCs/>
              <w:szCs w:val="28"/>
            </w:rPr>
            <w:t>3.7 "固态保护"与"活态传承"的辩证关系</w:t>
          </w:r>
          <w:r>
            <w:tab/>
          </w:r>
          <w:r>
            <w:fldChar w:fldCharType="begin"/>
          </w:r>
          <w:r>
            <w:instrText xml:space="preserve"> PAGEREF _Toc10046 \h </w:instrText>
          </w:r>
          <w:r>
            <w:fldChar w:fldCharType="separate"/>
          </w:r>
          <w:r>
            <w:t>31</w:t>
          </w:r>
          <w:r>
            <w:fldChar w:fldCharType="end"/>
          </w:r>
          <w:r>
            <w:fldChar w:fldCharType="end"/>
          </w:r>
        </w:p>
        <w:p w14:paraId="75626273">
          <w:pPr>
            <w:pStyle w:val="8"/>
            <w:tabs>
              <w:tab w:val="right" w:leader="dot" w:pos="9026"/>
            </w:tabs>
          </w:pPr>
          <w:r>
            <w:fldChar w:fldCharType="begin"/>
          </w:r>
          <w:r>
            <w:instrText xml:space="preserve"> HYPERLINK \l _Toc5413 </w:instrText>
          </w:r>
          <w:r>
            <w:fldChar w:fldCharType="separate"/>
          </w:r>
          <w:r>
            <w:rPr>
              <w:rFonts w:ascii="黑体" w:hAnsi="黑体" w:eastAsia="黑体" w:cs="黑体"/>
              <w:bCs/>
              <w:szCs w:val="26"/>
            </w:rPr>
            <w:t>3.7.1 固态保护的基础地位</w:t>
          </w:r>
          <w:r>
            <w:tab/>
          </w:r>
          <w:r>
            <w:fldChar w:fldCharType="begin"/>
          </w:r>
          <w:r>
            <w:instrText xml:space="preserve"> PAGEREF _Toc5413 \h </w:instrText>
          </w:r>
          <w:r>
            <w:fldChar w:fldCharType="separate"/>
          </w:r>
          <w:r>
            <w:t>31</w:t>
          </w:r>
          <w:r>
            <w:fldChar w:fldCharType="end"/>
          </w:r>
          <w:r>
            <w:fldChar w:fldCharType="end"/>
          </w:r>
        </w:p>
        <w:p w14:paraId="08C82955">
          <w:pPr>
            <w:pStyle w:val="8"/>
            <w:tabs>
              <w:tab w:val="right" w:leader="dot" w:pos="9026"/>
            </w:tabs>
          </w:pPr>
          <w:r>
            <w:fldChar w:fldCharType="begin"/>
          </w:r>
          <w:r>
            <w:instrText xml:space="preserve"> HYPERLINK \l _Toc12693 </w:instrText>
          </w:r>
          <w:r>
            <w:fldChar w:fldCharType="separate"/>
          </w:r>
          <w:r>
            <w:rPr>
              <w:rFonts w:ascii="黑体" w:hAnsi="黑体" w:eastAsia="黑体" w:cs="黑体"/>
              <w:bCs/>
              <w:szCs w:val="26"/>
            </w:rPr>
            <w:t>3.7.2 活态传承的核心地位</w:t>
          </w:r>
          <w:r>
            <w:tab/>
          </w:r>
          <w:r>
            <w:fldChar w:fldCharType="begin"/>
          </w:r>
          <w:r>
            <w:instrText xml:space="preserve"> PAGEREF _Toc12693 \h </w:instrText>
          </w:r>
          <w:r>
            <w:fldChar w:fldCharType="separate"/>
          </w:r>
          <w:r>
            <w:t>32</w:t>
          </w:r>
          <w:r>
            <w:fldChar w:fldCharType="end"/>
          </w:r>
          <w:r>
            <w:fldChar w:fldCharType="end"/>
          </w:r>
        </w:p>
        <w:p w14:paraId="18B1884E">
          <w:pPr>
            <w:pStyle w:val="8"/>
            <w:tabs>
              <w:tab w:val="right" w:leader="dot" w:pos="9026"/>
            </w:tabs>
          </w:pPr>
          <w:r>
            <w:fldChar w:fldCharType="begin"/>
          </w:r>
          <w:r>
            <w:instrText xml:space="preserve"> HYPERLINK \l _Toc18827 </w:instrText>
          </w:r>
          <w:r>
            <w:fldChar w:fldCharType="separate"/>
          </w:r>
          <w:r>
            <w:rPr>
              <w:rFonts w:ascii="黑体" w:hAnsi="黑体" w:eastAsia="黑体" w:cs="黑体"/>
              <w:bCs/>
              <w:szCs w:val="26"/>
            </w:rPr>
            <w:t>3.7.3 二者的辩证统一</w:t>
          </w:r>
          <w:r>
            <w:tab/>
          </w:r>
          <w:r>
            <w:fldChar w:fldCharType="begin"/>
          </w:r>
          <w:r>
            <w:instrText xml:space="preserve"> PAGEREF _Toc18827 \h </w:instrText>
          </w:r>
          <w:r>
            <w:fldChar w:fldCharType="separate"/>
          </w:r>
          <w:r>
            <w:t>32</w:t>
          </w:r>
          <w:r>
            <w:fldChar w:fldCharType="end"/>
          </w:r>
          <w:r>
            <w:fldChar w:fldCharType="end"/>
          </w:r>
        </w:p>
        <w:p w14:paraId="45025FEB">
          <w:pPr>
            <w:pStyle w:val="12"/>
            <w:tabs>
              <w:tab w:val="right" w:leader="dot" w:pos="9026"/>
            </w:tabs>
          </w:pPr>
          <w:r>
            <w:fldChar w:fldCharType="begin"/>
          </w:r>
          <w:r>
            <w:instrText xml:space="preserve"> HYPERLINK \l _Toc6862 </w:instrText>
          </w:r>
          <w:r>
            <w:fldChar w:fldCharType="separate"/>
          </w:r>
          <w:r>
            <w:rPr>
              <w:rFonts w:ascii="黑体" w:hAnsi="黑体" w:eastAsia="黑体" w:cs="黑体"/>
              <w:bCs/>
              <w:szCs w:val="28"/>
            </w:rPr>
            <w:t>本章小结</w:t>
          </w:r>
          <w:r>
            <w:tab/>
          </w:r>
          <w:r>
            <w:fldChar w:fldCharType="begin"/>
          </w:r>
          <w:r>
            <w:instrText xml:space="preserve"> PAGEREF _Toc6862 \h </w:instrText>
          </w:r>
          <w:r>
            <w:fldChar w:fldCharType="separate"/>
          </w:r>
          <w:r>
            <w:t>32</w:t>
          </w:r>
          <w:r>
            <w:fldChar w:fldCharType="end"/>
          </w:r>
          <w:r>
            <w:fldChar w:fldCharType="end"/>
          </w:r>
        </w:p>
        <w:p w14:paraId="56949596">
          <w:pPr>
            <w:pStyle w:val="12"/>
            <w:tabs>
              <w:tab w:val="right" w:leader="dot" w:pos="9026"/>
            </w:tabs>
          </w:pPr>
          <w:r>
            <w:fldChar w:fldCharType="begin"/>
          </w:r>
          <w:r>
            <w:instrText xml:space="preserve"> HYPERLINK \l _Toc30915 </w:instrText>
          </w:r>
          <w:r>
            <w:fldChar w:fldCharType="separate"/>
          </w:r>
          <w:r>
            <w:rPr>
              <w:rFonts w:ascii="黑体" w:hAnsi="黑体" w:eastAsia="黑体" w:cs="黑体"/>
              <w:bCs/>
              <w:szCs w:val="28"/>
            </w:rPr>
            <w:t>思考与练习</w:t>
          </w:r>
          <w:r>
            <w:tab/>
          </w:r>
          <w:r>
            <w:fldChar w:fldCharType="begin"/>
          </w:r>
          <w:r>
            <w:instrText xml:space="preserve"> PAGEREF _Toc30915 \h </w:instrText>
          </w:r>
          <w:r>
            <w:fldChar w:fldCharType="separate"/>
          </w:r>
          <w:r>
            <w:t>32</w:t>
          </w:r>
          <w:r>
            <w:fldChar w:fldCharType="end"/>
          </w:r>
          <w:r>
            <w:fldChar w:fldCharType="end"/>
          </w:r>
        </w:p>
        <w:p w14:paraId="3F383C64">
          <w:pPr>
            <w:pStyle w:val="12"/>
            <w:tabs>
              <w:tab w:val="right" w:leader="dot" w:pos="9026"/>
            </w:tabs>
          </w:pPr>
          <w:r>
            <w:fldChar w:fldCharType="begin"/>
          </w:r>
          <w:r>
            <w:instrText xml:space="preserve"> HYPERLINK \l _Toc21013 </w:instrText>
          </w:r>
          <w:r>
            <w:fldChar w:fldCharType="separate"/>
          </w:r>
          <w:r>
            <w:rPr>
              <w:rFonts w:ascii="黑体" w:hAnsi="黑体" w:eastAsia="黑体" w:cs="黑体"/>
              <w:bCs/>
              <w:szCs w:val="28"/>
            </w:rPr>
            <w:t>知识卡片：文化遗产价值评估框架</w:t>
          </w:r>
          <w:r>
            <w:tab/>
          </w:r>
          <w:r>
            <w:fldChar w:fldCharType="begin"/>
          </w:r>
          <w:r>
            <w:instrText xml:space="preserve"> PAGEREF _Toc21013 \h </w:instrText>
          </w:r>
          <w:r>
            <w:fldChar w:fldCharType="separate"/>
          </w:r>
          <w:r>
            <w:t>33</w:t>
          </w:r>
          <w:r>
            <w:fldChar w:fldCharType="end"/>
          </w:r>
          <w:r>
            <w:fldChar w:fldCharType="end"/>
          </w:r>
        </w:p>
        <w:p w14:paraId="29D37BB2">
          <w:pPr>
            <w:pStyle w:val="10"/>
            <w:tabs>
              <w:tab w:val="right" w:leader="dot" w:pos="9026"/>
            </w:tabs>
          </w:pPr>
          <w:r>
            <w:fldChar w:fldCharType="begin"/>
          </w:r>
          <w:r>
            <w:instrText xml:space="preserve"> HYPERLINK \l _Toc29498 </w:instrText>
          </w:r>
          <w:r>
            <w:fldChar w:fldCharType="separate"/>
          </w:r>
          <w:r>
            <w:rPr>
              <w:rFonts w:ascii="黑体" w:hAnsi="黑体" w:eastAsia="黑体" w:cs="黑体"/>
              <w:bCs/>
              <w:szCs w:val="32"/>
            </w:rPr>
            <w:t>第 4 章  文化遗产数字化理论与方法</w:t>
          </w:r>
          <w:r>
            <w:tab/>
          </w:r>
          <w:r>
            <w:fldChar w:fldCharType="begin"/>
          </w:r>
          <w:r>
            <w:instrText xml:space="preserve"> PAGEREF _Toc29498 \h </w:instrText>
          </w:r>
          <w:r>
            <w:fldChar w:fldCharType="separate"/>
          </w:r>
          <w:r>
            <w:t>34</w:t>
          </w:r>
          <w:r>
            <w:fldChar w:fldCharType="end"/>
          </w:r>
          <w:r>
            <w:fldChar w:fldCharType="end"/>
          </w:r>
        </w:p>
        <w:p w14:paraId="35F1A195">
          <w:pPr>
            <w:pStyle w:val="12"/>
            <w:tabs>
              <w:tab w:val="right" w:leader="dot" w:pos="9026"/>
            </w:tabs>
          </w:pPr>
          <w:r>
            <w:fldChar w:fldCharType="begin"/>
          </w:r>
          <w:r>
            <w:instrText xml:space="preserve"> HYPERLINK \l _Toc13420 </w:instrText>
          </w:r>
          <w:r>
            <w:fldChar w:fldCharType="separate"/>
          </w:r>
          <w:r>
            <w:rPr>
              <w:rFonts w:ascii="黑体" w:hAnsi="黑体" w:eastAsia="黑体" w:cs="黑体"/>
              <w:bCs/>
              <w:szCs w:val="28"/>
            </w:rPr>
            <w:t>学习目标</w:t>
          </w:r>
          <w:r>
            <w:tab/>
          </w:r>
          <w:r>
            <w:fldChar w:fldCharType="begin"/>
          </w:r>
          <w:r>
            <w:instrText xml:space="preserve"> PAGEREF _Toc13420 \h </w:instrText>
          </w:r>
          <w:r>
            <w:fldChar w:fldCharType="separate"/>
          </w:r>
          <w:r>
            <w:t>34</w:t>
          </w:r>
          <w:r>
            <w:fldChar w:fldCharType="end"/>
          </w:r>
          <w:r>
            <w:fldChar w:fldCharType="end"/>
          </w:r>
        </w:p>
        <w:p w14:paraId="2E7834F3">
          <w:pPr>
            <w:pStyle w:val="12"/>
            <w:tabs>
              <w:tab w:val="right" w:leader="dot" w:pos="9026"/>
            </w:tabs>
          </w:pPr>
          <w:r>
            <w:fldChar w:fldCharType="begin"/>
          </w:r>
          <w:r>
            <w:instrText xml:space="preserve"> HYPERLINK \l _Toc16163 </w:instrText>
          </w:r>
          <w:r>
            <w:fldChar w:fldCharType="separate"/>
          </w:r>
          <w:r>
            <w:rPr>
              <w:rFonts w:ascii="黑体" w:hAnsi="黑体" w:eastAsia="黑体" w:cs="黑体"/>
              <w:bCs/>
              <w:szCs w:val="28"/>
            </w:rPr>
            <w:t>导入案例：云山屯的数字重生</w:t>
          </w:r>
          <w:r>
            <w:tab/>
          </w:r>
          <w:r>
            <w:fldChar w:fldCharType="begin"/>
          </w:r>
          <w:r>
            <w:instrText xml:space="preserve"> PAGEREF _Toc16163 \h </w:instrText>
          </w:r>
          <w:r>
            <w:fldChar w:fldCharType="separate"/>
          </w:r>
          <w:r>
            <w:t>34</w:t>
          </w:r>
          <w:r>
            <w:fldChar w:fldCharType="end"/>
          </w:r>
          <w:r>
            <w:fldChar w:fldCharType="end"/>
          </w:r>
        </w:p>
        <w:p w14:paraId="55B48BEC">
          <w:pPr>
            <w:pStyle w:val="12"/>
            <w:tabs>
              <w:tab w:val="right" w:leader="dot" w:pos="9026"/>
            </w:tabs>
          </w:pPr>
          <w:r>
            <w:fldChar w:fldCharType="begin"/>
          </w:r>
          <w:r>
            <w:instrText xml:space="preserve"> HYPERLINK \l _Toc16265 </w:instrText>
          </w:r>
          <w:r>
            <w:fldChar w:fldCharType="separate"/>
          </w:r>
          <w:r>
            <w:rPr>
              <w:rFonts w:ascii="黑体" w:hAnsi="黑体" w:eastAsia="黑体" w:cs="黑体"/>
              <w:bCs/>
              <w:szCs w:val="28"/>
            </w:rPr>
            <w:t>4.1 文化遗产数字化的基本概念</w:t>
          </w:r>
          <w:r>
            <w:tab/>
          </w:r>
          <w:r>
            <w:fldChar w:fldCharType="begin"/>
          </w:r>
          <w:r>
            <w:instrText xml:space="preserve"> PAGEREF _Toc16265 \h </w:instrText>
          </w:r>
          <w:r>
            <w:fldChar w:fldCharType="separate"/>
          </w:r>
          <w:r>
            <w:t>34</w:t>
          </w:r>
          <w:r>
            <w:fldChar w:fldCharType="end"/>
          </w:r>
          <w:r>
            <w:fldChar w:fldCharType="end"/>
          </w:r>
        </w:p>
        <w:p w14:paraId="01E94822">
          <w:pPr>
            <w:pStyle w:val="8"/>
            <w:tabs>
              <w:tab w:val="right" w:leader="dot" w:pos="9026"/>
            </w:tabs>
          </w:pPr>
          <w:r>
            <w:fldChar w:fldCharType="begin"/>
          </w:r>
          <w:r>
            <w:instrText xml:space="preserve"> HYPERLINK \l _Toc31334 </w:instrText>
          </w:r>
          <w:r>
            <w:fldChar w:fldCharType="separate"/>
          </w:r>
          <w:r>
            <w:rPr>
              <w:rFonts w:ascii="黑体" w:hAnsi="黑体" w:eastAsia="黑体" w:cs="黑体"/>
              <w:bCs/>
              <w:szCs w:val="26"/>
            </w:rPr>
            <w:t>4.1.1 什么是文化遗产数字化</w:t>
          </w:r>
          <w:r>
            <w:tab/>
          </w:r>
          <w:r>
            <w:fldChar w:fldCharType="begin"/>
          </w:r>
          <w:r>
            <w:instrText xml:space="preserve"> PAGEREF _Toc31334 \h </w:instrText>
          </w:r>
          <w:r>
            <w:fldChar w:fldCharType="separate"/>
          </w:r>
          <w:r>
            <w:t>34</w:t>
          </w:r>
          <w:r>
            <w:fldChar w:fldCharType="end"/>
          </w:r>
          <w:r>
            <w:fldChar w:fldCharType="end"/>
          </w:r>
        </w:p>
        <w:p w14:paraId="68C17265">
          <w:pPr>
            <w:pStyle w:val="8"/>
            <w:tabs>
              <w:tab w:val="right" w:leader="dot" w:pos="9026"/>
            </w:tabs>
          </w:pPr>
          <w:r>
            <w:fldChar w:fldCharType="begin"/>
          </w:r>
          <w:r>
            <w:instrText xml:space="preserve"> HYPERLINK \l _Toc31895 </w:instrText>
          </w:r>
          <w:r>
            <w:fldChar w:fldCharType="separate"/>
          </w:r>
          <w:r>
            <w:rPr>
              <w:rFonts w:ascii="黑体" w:hAnsi="黑体" w:eastAsia="黑体" w:cs="黑体"/>
              <w:bCs/>
              <w:szCs w:val="26"/>
            </w:rPr>
            <w:t>4.1.2 数字化的类型与层次</w:t>
          </w:r>
          <w:r>
            <w:tab/>
          </w:r>
          <w:r>
            <w:fldChar w:fldCharType="begin"/>
          </w:r>
          <w:r>
            <w:instrText xml:space="preserve"> PAGEREF _Toc31895 \h </w:instrText>
          </w:r>
          <w:r>
            <w:fldChar w:fldCharType="separate"/>
          </w:r>
          <w:r>
            <w:t>35</w:t>
          </w:r>
          <w:r>
            <w:fldChar w:fldCharType="end"/>
          </w:r>
          <w:r>
            <w:fldChar w:fldCharType="end"/>
          </w:r>
        </w:p>
        <w:p w14:paraId="069D6483">
          <w:pPr>
            <w:pStyle w:val="8"/>
            <w:tabs>
              <w:tab w:val="right" w:leader="dot" w:pos="9026"/>
            </w:tabs>
          </w:pPr>
          <w:r>
            <w:fldChar w:fldCharType="begin"/>
          </w:r>
          <w:r>
            <w:instrText xml:space="preserve"> HYPERLINK \l _Toc26839 </w:instrText>
          </w:r>
          <w:r>
            <w:fldChar w:fldCharType="separate"/>
          </w:r>
          <w:r>
            <w:rPr>
              <w:rFonts w:ascii="黑体" w:hAnsi="黑体" w:eastAsia="黑体" w:cs="黑体"/>
              <w:bCs/>
              <w:szCs w:val="26"/>
            </w:rPr>
            <w:t>4.1.3 数字化的核心价值</w:t>
          </w:r>
          <w:r>
            <w:tab/>
          </w:r>
          <w:r>
            <w:fldChar w:fldCharType="begin"/>
          </w:r>
          <w:r>
            <w:instrText xml:space="preserve"> PAGEREF _Toc26839 \h </w:instrText>
          </w:r>
          <w:r>
            <w:fldChar w:fldCharType="separate"/>
          </w:r>
          <w:r>
            <w:t>35</w:t>
          </w:r>
          <w:r>
            <w:fldChar w:fldCharType="end"/>
          </w:r>
          <w:r>
            <w:fldChar w:fldCharType="end"/>
          </w:r>
        </w:p>
        <w:p w14:paraId="7CA18D04">
          <w:pPr>
            <w:pStyle w:val="12"/>
            <w:tabs>
              <w:tab w:val="right" w:leader="dot" w:pos="9026"/>
            </w:tabs>
          </w:pPr>
          <w:r>
            <w:fldChar w:fldCharType="begin"/>
          </w:r>
          <w:r>
            <w:instrText xml:space="preserve"> HYPERLINK \l _Toc27145 </w:instrText>
          </w:r>
          <w:r>
            <w:fldChar w:fldCharType="separate"/>
          </w:r>
          <w:r>
            <w:rPr>
              <w:rFonts w:ascii="黑体" w:hAnsi="黑体" w:eastAsia="黑体" w:cs="黑体"/>
              <w:bCs/>
              <w:szCs w:val="28"/>
            </w:rPr>
            <w:t>4.2 数字化采集技术</w:t>
          </w:r>
          <w:r>
            <w:tab/>
          </w:r>
          <w:r>
            <w:fldChar w:fldCharType="begin"/>
          </w:r>
          <w:r>
            <w:instrText xml:space="preserve"> PAGEREF _Toc27145 \h </w:instrText>
          </w:r>
          <w:r>
            <w:fldChar w:fldCharType="separate"/>
          </w:r>
          <w:r>
            <w:t>35</w:t>
          </w:r>
          <w:r>
            <w:fldChar w:fldCharType="end"/>
          </w:r>
          <w:r>
            <w:fldChar w:fldCharType="end"/>
          </w:r>
        </w:p>
        <w:p w14:paraId="183AAF6A">
          <w:pPr>
            <w:pStyle w:val="8"/>
            <w:tabs>
              <w:tab w:val="right" w:leader="dot" w:pos="9026"/>
            </w:tabs>
          </w:pPr>
          <w:r>
            <w:fldChar w:fldCharType="begin"/>
          </w:r>
          <w:r>
            <w:instrText xml:space="preserve"> HYPERLINK \l _Toc31057 </w:instrText>
          </w:r>
          <w:r>
            <w:fldChar w:fldCharType="separate"/>
          </w:r>
          <w:r>
            <w:rPr>
              <w:rFonts w:ascii="黑体" w:hAnsi="黑体" w:eastAsia="黑体" w:cs="黑体"/>
              <w:bCs/>
              <w:szCs w:val="26"/>
            </w:rPr>
            <w:t>4.2.1 三维激光扫描</w:t>
          </w:r>
          <w:r>
            <w:tab/>
          </w:r>
          <w:r>
            <w:fldChar w:fldCharType="begin"/>
          </w:r>
          <w:r>
            <w:instrText xml:space="preserve"> PAGEREF _Toc31057 \h </w:instrText>
          </w:r>
          <w:r>
            <w:fldChar w:fldCharType="separate"/>
          </w:r>
          <w:r>
            <w:t>35</w:t>
          </w:r>
          <w:r>
            <w:fldChar w:fldCharType="end"/>
          </w:r>
          <w:r>
            <w:fldChar w:fldCharType="end"/>
          </w:r>
        </w:p>
        <w:p w14:paraId="1D029316">
          <w:pPr>
            <w:pStyle w:val="8"/>
            <w:tabs>
              <w:tab w:val="right" w:leader="dot" w:pos="9026"/>
            </w:tabs>
          </w:pPr>
          <w:r>
            <w:fldChar w:fldCharType="begin"/>
          </w:r>
          <w:r>
            <w:instrText xml:space="preserve"> HYPERLINK \l _Toc9429 </w:instrText>
          </w:r>
          <w:r>
            <w:fldChar w:fldCharType="separate"/>
          </w:r>
          <w:r>
            <w:rPr>
              <w:rFonts w:ascii="黑体" w:hAnsi="黑体" w:eastAsia="黑体" w:cs="黑体"/>
              <w:bCs/>
              <w:szCs w:val="26"/>
            </w:rPr>
            <w:t>4.2.2 摄影测量</w:t>
          </w:r>
          <w:r>
            <w:tab/>
          </w:r>
          <w:r>
            <w:fldChar w:fldCharType="begin"/>
          </w:r>
          <w:r>
            <w:instrText xml:space="preserve"> PAGEREF _Toc9429 \h </w:instrText>
          </w:r>
          <w:r>
            <w:fldChar w:fldCharType="separate"/>
          </w:r>
          <w:r>
            <w:t>36</w:t>
          </w:r>
          <w:r>
            <w:fldChar w:fldCharType="end"/>
          </w:r>
          <w:r>
            <w:fldChar w:fldCharType="end"/>
          </w:r>
        </w:p>
        <w:p w14:paraId="29437B7F">
          <w:pPr>
            <w:pStyle w:val="8"/>
            <w:tabs>
              <w:tab w:val="right" w:leader="dot" w:pos="9026"/>
            </w:tabs>
          </w:pPr>
          <w:r>
            <w:fldChar w:fldCharType="begin"/>
          </w:r>
          <w:r>
            <w:instrText xml:space="preserve"> HYPERLINK \l _Toc8290 </w:instrText>
          </w:r>
          <w:r>
            <w:fldChar w:fldCharType="separate"/>
          </w:r>
          <w:r>
            <w:rPr>
              <w:rFonts w:ascii="黑体" w:hAnsi="黑体" w:eastAsia="黑体" w:cs="黑体"/>
              <w:bCs/>
              <w:szCs w:val="26"/>
            </w:rPr>
            <w:t>4.2.3 全景成像</w:t>
          </w:r>
          <w:r>
            <w:tab/>
          </w:r>
          <w:r>
            <w:fldChar w:fldCharType="begin"/>
          </w:r>
          <w:r>
            <w:instrText xml:space="preserve"> PAGEREF _Toc8290 \h </w:instrText>
          </w:r>
          <w:r>
            <w:fldChar w:fldCharType="separate"/>
          </w:r>
          <w:r>
            <w:t>36</w:t>
          </w:r>
          <w:r>
            <w:fldChar w:fldCharType="end"/>
          </w:r>
          <w:r>
            <w:fldChar w:fldCharType="end"/>
          </w:r>
        </w:p>
        <w:p w14:paraId="12C66723">
          <w:pPr>
            <w:pStyle w:val="8"/>
            <w:tabs>
              <w:tab w:val="right" w:leader="dot" w:pos="9026"/>
            </w:tabs>
          </w:pPr>
          <w:r>
            <w:fldChar w:fldCharType="begin"/>
          </w:r>
          <w:r>
            <w:instrText xml:space="preserve"> HYPERLINK \l _Toc21726 </w:instrText>
          </w:r>
          <w:r>
            <w:fldChar w:fldCharType="separate"/>
          </w:r>
          <w:r>
            <w:rPr>
              <w:rFonts w:ascii="黑体" w:hAnsi="黑体" w:eastAsia="黑体" w:cs="黑体"/>
              <w:bCs/>
              <w:szCs w:val="26"/>
            </w:rPr>
            <w:t>4.2.4 高光谱成像与多光谱成像</w:t>
          </w:r>
          <w:r>
            <w:tab/>
          </w:r>
          <w:r>
            <w:fldChar w:fldCharType="begin"/>
          </w:r>
          <w:r>
            <w:instrText xml:space="preserve"> PAGEREF _Toc21726 \h </w:instrText>
          </w:r>
          <w:r>
            <w:fldChar w:fldCharType="separate"/>
          </w:r>
          <w:r>
            <w:t>36</w:t>
          </w:r>
          <w:r>
            <w:fldChar w:fldCharType="end"/>
          </w:r>
          <w:r>
            <w:fldChar w:fldCharType="end"/>
          </w:r>
        </w:p>
        <w:p w14:paraId="5C19A913">
          <w:pPr>
            <w:pStyle w:val="8"/>
            <w:tabs>
              <w:tab w:val="right" w:leader="dot" w:pos="9026"/>
            </w:tabs>
          </w:pPr>
          <w:r>
            <w:fldChar w:fldCharType="begin"/>
          </w:r>
          <w:r>
            <w:instrText xml:space="preserve"> HYPERLINK \l _Toc7602 </w:instrText>
          </w:r>
          <w:r>
            <w:fldChar w:fldCharType="separate"/>
          </w:r>
          <w:r>
            <w:rPr>
              <w:rFonts w:ascii="黑体" w:hAnsi="黑体" w:eastAsia="黑体" w:cs="黑体"/>
              <w:bCs/>
              <w:szCs w:val="26"/>
            </w:rPr>
            <w:t>4.2.5 RTI（反射变换成像）</w:t>
          </w:r>
          <w:r>
            <w:tab/>
          </w:r>
          <w:r>
            <w:fldChar w:fldCharType="begin"/>
          </w:r>
          <w:r>
            <w:instrText xml:space="preserve"> PAGEREF _Toc7602 \h </w:instrText>
          </w:r>
          <w:r>
            <w:fldChar w:fldCharType="separate"/>
          </w:r>
          <w:r>
            <w:t>36</w:t>
          </w:r>
          <w:r>
            <w:fldChar w:fldCharType="end"/>
          </w:r>
          <w:r>
            <w:fldChar w:fldCharType="end"/>
          </w:r>
        </w:p>
        <w:p w14:paraId="4A466995">
          <w:pPr>
            <w:pStyle w:val="12"/>
            <w:tabs>
              <w:tab w:val="right" w:leader="dot" w:pos="9026"/>
            </w:tabs>
          </w:pPr>
          <w:r>
            <w:fldChar w:fldCharType="begin"/>
          </w:r>
          <w:r>
            <w:instrText xml:space="preserve"> HYPERLINK \l _Toc15698 </w:instrText>
          </w:r>
          <w:r>
            <w:fldChar w:fldCharType="separate"/>
          </w:r>
          <w:r>
            <w:rPr>
              <w:rFonts w:ascii="黑体" w:hAnsi="黑体" w:eastAsia="黑体" w:cs="黑体"/>
              <w:bCs/>
              <w:szCs w:val="28"/>
            </w:rPr>
            <w:t>4.3 数字化处理技术</w:t>
          </w:r>
          <w:r>
            <w:tab/>
          </w:r>
          <w:r>
            <w:fldChar w:fldCharType="begin"/>
          </w:r>
          <w:r>
            <w:instrText xml:space="preserve"> PAGEREF _Toc15698 \h </w:instrText>
          </w:r>
          <w:r>
            <w:fldChar w:fldCharType="separate"/>
          </w:r>
          <w:r>
            <w:t>37</w:t>
          </w:r>
          <w:r>
            <w:fldChar w:fldCharType="end"/>
          </w:r>
          <w:r>
            <w:fldChar w:fldCharType="end"/>
          </w:r>
        </w:p>
        <w:p w14:paraId="7F7FBABA">
          <w:pPr>
            <w:pStyle w:val="8"/>
            <w:tabs>
              <w:tab w:val="right" w:leader="dot" w:pos="9026"/>
            </w:tabs>
          </w:pPr>
          <w:r>
            <w:fldChar w:fldCharType="begin"/>
          </w:r>
          <w:r>
            <w:instrText xml:space="preserve"> HYPERLINK \l _Toc10570 </w:instrText>
          </w:r>
          <w:r>
            <w:fldChar w:fldCharType="separate"/>
          </w:r>
          <w:r>
            <w:rPr>
              <w:rFonts w:ascii="黑体" w:hAnsi="黑体" w:eastAsia="黑体" w:cs="黑体"/>
              <w:bCs/>
              <w:szCs w:val="26"/>
            </w:rPr>
            <w:t>4.3.1 点云处理与三维建模</w:t>
          </w:r>
          <w:r>
            <w:tab/>
          </w:r>
          <w:r>
            <w:fldChar w:fldCharType="begin"/>
          </w:r>
          <w:r>
            <w:instrText xml:space="preserve"> PAGEREF _Toc10570 \h </w:instrText>
          </w:r>
          <w:r>
            <w:fldChar w:fldCharType="separate"/>
          </w:r>
          <w:r>
            <w:t>37</w:t>
          </w:r>
          <w:r>
            <w:fldChar w:fldCharType="end"/>
          </w:r>
          <w:r>
            <w:fldChar w:fldCharType="end"/>
          </w:r>
        </w:p>
        <w:p w14:paraId="27FBCC8C">
          <w:pPr>
            <w:pStyle w:val="8"/>
            <w:tabs>
              <w:tab w:val="right" w:leader="dot" w:pos="9026"/>
            </w:tabs>
          </w:pPr>
          <w:r>
            <w:fldChar w:fldCharType="begin"/>
          </w:r>
          <w:r>
            <w:instrText xml:space="preserve"> HYPERLINK \l _Toc6468 </w:instrText>
          </w:r>
          <w:r>
            <w:fldChar w:fldCharType="separate"/>
          </w:r>
          <w:r>
            <w:rPr>
              <w:rFonts w:ascii="黑体" w:hAnsi="黑体" w:eastAsia="黑体" w:cs="黑体"/>
              <w:bCs/>
              <w:szCs w:val="26"/>
            </w:rPr>
            <w:t>4.3.2 BIM与HBIM</w:t>
          </w:r>
          <w:r>
            <w:tab/>
          </w:r>
          <w:r>
            <w:fldChar w:fldCharType="begin"/>
          </w:r>
          <w:r>
            <w:instrText xml:space="preserve"> PAGEREF _Toc6468 \h </w:instrText>
          </w:r>
          <w:r>
            <w:fldChar w:fldCharType="separate"/>
          </w:r>
          <w:r>
            <w:t>37</w:t>
          </w:r>
          <w:r>
            <w:fldChar w:fldCharType="end"/>
          </w:r>
          <w:r>
            <w:fldChar w:fldCharType="end"/>
          </w:r>
        </w:p>
        <w:p w14:paraId="48D63554">
          <w:pPr>
            <w:pStyle w:val="8"/>
            <w:tabs>
              <w:tab w:val="right" w:leader="dot" w:pos="9026"/>
            </w:tabs>
          </w:pPr>
          <w:r>
            <w:fldChar w:fldCharType="begin"/>
          </w:r>
          <w:r>
            <w:instrText xml:space="preserve"> HYPERLINK \l _Toc12388 </w:instrText>
          </w:r>
          <w:r>
            <w:fldChar w:fldCharType="separate"/>
          </w:r>
          <w:r>
            <w:rPr>
              <w:rFonts w:ascii="黑体" w:hAnsi="黑体" w:eastAsia="黑体" w:cs="黑体"/>
              <w:bCs/>
              <w:szCs w:val="26"/>
            </w:rPr>
            <w:t>4.3.3 数字孪生</w:t>
          </w:r>
          <w:r>
            <w:tab/>
          </w:r>
          <w:r>
            <w:fldChar w:fldCharType="begin"/>
          </w:r>
          <w:r>
            <w:instrText xml:space="preserve"> PAGEREF _Toc12388 \h </w:instrText>
          </w:r>
          <w:r>
            <w:fldChar w:fldCharType="separate"/>
          </w:r>
          <w:r>
            <w:t>37</w:t>
          </w:r>
          <w:r>
            <w:fldChar w:fldCharType="end"/>
          </w:r>
          <w:r>
            <w:fldChar w:fldCharType="end"/>
          </w:r>
        </w:p>
        <w:p w14:paraId="6F0C237F">
          <w:pPr>
            <w:pStyle w:val="12"/>
            <w:tabs>
              <w:tab w:val="right" w:leader="dot" w:pos="9026"/>
            </w:tabs>
          </w:pPr>
          <w:r>
            <w:fldChar w:fldCharType="begin"/>
          </w:r>
          <w:r>
            <w:instrText xml:space="preserve"> HYPERLINK \l _Toc28107 </w:instrText>
          </w:r>
          <w:r>
            <w:fldChar w:fldCharType="separate"/>
          </w:r>
          <w:r>
            <w:rPr>
              <w:rFonts w:ascii="黑体" w:hAnsi="黑体" w:eastAsia="黑体" w:cs="黑体"/>
              <w:bCs/>
              <w:szCs w:val="28"/>
            </w:rPr>
            <w:t>4.4 数字化管理技术</w:t>
          </w:r>
          <w:r>
            <w:tab/>
          </w:r>
          <w:r>
            <w:fldChar w:fldCharType="begin"/>
          </w:r>
          <w:r>
            <w:instrText xml:space="preserve"> PAGEREF _Toc28107 \h </w:instrText>
          </w:r>
          <w:r>
            <w:fldChar w:fldCharType="separate"/>
          </w:r>
          <w:r>
            <w:t>37</w:t>
          </w:r>
          <w:r>
            <w:fldChar w:fldCharType="end"/>
          </w:r>
          <w:r>
            <w:fldChar w:fldCharType="end"/>
          </w:r>
        </w:p>
        <w:p w14:paraId="45DAE320">
          <w:pPr>
            <w:pStyle w:val="8"/>
            <w:tabs>
              <w:tab w:val="right" w:leader="dot" w:pos="9026"/>
            </w:tabs>
          </w:pPr>
          <w:r>
            <w:fldChar w:fldCharType="begin"/>
          </w:r>
          <w:r>
            <w:instrText xml:space="preserve"> HYPERLINK \l _Toc17775 </w:instrText>
          </w:r>
          <w:r>
            <w:fldChar w:fldCharType="separate"/>
          </w:r>
          <w:r>
            <w:rPr>
              <w:rFonts w:ascii="黑体" w:hAnsi="黑体" w:eastAsia="黑体" w:cs="黑体"/>
              <w:bCs/>
              <w:szCs w:val="26"/>
            </w:rPr>
            <w:t>4.4.1 知识图谱</w:t>
          </w:r>
          <w:r>
            <w:tab/>
          </w:r>
          <w:r>
            <w:fldChar w:fldCharType="begin"/>
          </w:r>
          <w:r>
            <w:instrText xml:space="preserve"> PAGEREF _Toc17775 \h </w:instrText>
          </w:r>
          <w:r>
            <w:fldChar w:fldCharType="separate"/>
          </w:r>
          <w:r>
            <w:t>37</w:t>
          </w:r>
          <w:r>
            <w:fldChar w:fldCharType="end"/>
          </w:r>
          <w:r>
            <w:fldChar w:fldCharType="end"/>
          </w:r>
        </w:p>
        <w:p w14:paraId="3C073790">
          <w:pPr>
            <w:pStyle w:val="8"/>
            <w:tabs>
              <w:tab w:val="right" w:leader="dot" w:pos="9026"/>
            </w:tabs>
          </w:pPr>
          <w:r>
            <w:fldChar w:fldCharType="begin"/>
          </w:r>
          <w:r>
            <w:instrText xml:space="preserve"> HYPERLINK \l _Toc1646 </w:instrText>
          </w:r>
          <w:r>
            <w:fldChar w:fldCharType="separate"/>
          </w:r>
          <w:r>
            <w:rPr>
              <w:rFonts w:ascii="黑体" w:hAnsi="黑体" w:eastAsia="黑体" w:cs="黑体"/>
              <w:bCs/>
              <w:szCs w:val="26"/>
            </w:rPr>
            <w:t>4.4.2 区块链与数字版权</w:t>
          </w:r>
          <w:r>
            <w:tab/>
          </w:r>
          <w:r>
            <w:fldChar w:fldCharType="begin"/>
          </w:r>
          <w:r>
            <w:instrText xml:space="preserve"> PAGEREF _Toc1646 \h </w:instrText>
          </w:r>
          <w:r>
            <w:fldChar w:fldCharType="separate"/>
          </w:r>
          <w:r>
            <w:t>38</w:t>
          </w:r>
          <w:r>
            <w:fldChar w:fldCharType="end"/>
          </w:r>
          <w:r>
            <w:fldChar w:fldCharType="end"/>
          </w:r>
        </w:p>
        <w:p w14:paraId="78DCBF13">
          <w:pPr>
            <w:pStyle w:val="8"/>
            <w:tabs>
              <w:tab w:val="right" w:leader="dot" w:pos="9026"/>
            </w:tabs>
          </w:pPr>
          <w:r>
            <w:fldChar w:fldCharType="begin"/>
          </w:r>
          <w:r>
            <w:instrText xml:space="preserve"> HYPERLINK \l _Toc17760 </w:instrText>
          </w:r>
          <w:r>
            <w:fldChar w:fldCharType="separate"/>
          </w:r>
          <w:r>
            <w:rPr>
              <w:rFonts w:ascii="黑体" w:hAnsi="黑体" w:eastAsia="黑体" w:cs="黑体"/>
              <w:bCs/>
              <w:szCs w:val="26"/>
            </w:rPr>
            <w:t>4.4.3 云计算与大数据平台</w:t>
          </w:r>
          <w:r>
            <w:tab/>
          </w:r>
          <w:r>
            <w:fldChar w:fldCharType="begin"/>
          </w:r>
          <w:r>
            <w:instrText xml:space="preserve"> PAGEREF _Toc17760 \h </w:instrText>
          </w:r>
          <w:r>
            <w:fldChar w:fldCharType="separate"/>
          </w:r>
          <w:r>
            <w:t>38</w:t>
          </w:r>
          <w:r>
            <w:fldChar w:fldCharType="end"/>
          </w:r>
          <w:r>
            <w:fldChar w:fldCharType="end"/>
          </w:r>
        </w:p>
        <w:p w14:paraId="1A3329AF">
          <w:pPr>
            <w:pStyle w:val="12"/>
            <w:tabs>
              <w:tab w:val="right" w:leader="dot" w:pos="9026"/>
            </w:tabs>
          </w:pPr>
          <w:r>
            <w:fldChar w:fldCharType="begin"/>
          </w:r>
          <w:r>
            <w:instrText xml:space="preserve"> HYPERLINK \l _Toc13738 </w:instrText>
          </w:r>
          <w:r>
            <w:fldChar w:fldCharType="separate"/>
          </w:r>
          <w:r>
            <w:rPr>
              <w:rFonts w:ascii="黑体" w:hAnsi="黑体" w:eastAsia="黑体" w:cs="黑体"/>
              <w:bCs/>
              <w:szCs w:val="28"/>
            </w:rPr>
            <w:t>4.5 数字化展示技术</w:t>
          </w:r>
          <w:r>
            <w:tab/>
          </w:r>
          <w:r>
            <w:fldChar w:fldCharType="begin"/>
          </w:r>
          <w:r>
            <w:instrText xml:space="preserve"> PAGEREF _Toc13738 \h </w:instrText>
          </w:r>
          <w:r>
            <w:fldChar w:fldCharType="separate"/>
          </w:r>
          <w:r>
            <w:t>38</w:t>
          </w:r>
          <w:r>
            <w:fldChar w:fldCharType="end"/>
          </w:r>
          <w:r>
            <w:fldChar w:fldCharType="end"/>
          </w:r>
        </w:p>
        <w:p w14:paraId="290D9912">
          <w:pPr>
            <w:pStyle w:val="8"/>
            <w:tabs>
              <w:tab w:val="right" w:leader="dot" w:pos="9026"/>
            </w:tabs>
          </w:pPr>
          <w:r>
            <w:fldChar w:fldCharType="begin"/>
          </w:r>
          <w:r>
            <w:instrText xml:space="preserve"> HYPERLINK \l _Toc1178 </w:instrText>
          </w:r>
          <w:r>
            <w:fldChar w:fldCharType="separate"/>
          </w:r>
          <w:r>
            <w:rPr>
              <w:rFonts w:ascii="黑体" w:hAnsi="黑体" w:eastAsia="黑体" w:cs="黑体"/>
              <w:bCs/>
              <w:szCs w:val="26"/>
            </w:rPr>
            <w:t>4.5.1 虚拟现实（VR）展示</w:t>
          </w:r>
          <w:r>
            <w:tab/>
          </w:r>
          <w:r>
            <w:fldChar w:fldCharType="begin"/>
          </w:r>
          <w:r>
            <w:instrText xml:space="preserve"> PAGEREF _Toc1178 \h </w:instrText>
          </w:r>
          <w:r>
            <w:fldChar w:fldCharType="separate"/>
          </w:r>
          <w:r>
            <w:t>38</w:t>
          </w:r>
          <w:r>
            <w:fldChar w:fldCharType="end"/>
          </w:r>
          <w:r>
            <w:fldChar w:fldCharType="end"/>
          </w:r>
        </w:p>
        <w:p w14:paraId="3273024B">
          <w:pPr>
            <w:pStyle w:val="8"/>
            <w:tabs>
              <w:tab w:val="right" w:leader="dot" w:pos="9026"/>
            </w:tabs>
          </w:pPr>
          <w:r>
            <w:fldChar w:fldCharType="begin"/>
          </w:r>
          <w:r>
            <w:instrText xml:space="preserve"> HYPERLINK \l _Toc715 </w:instrText>
          </w:r>
          <w:r>
            <w:fldChar w:fldCharType="separate"/>
          </w:r>
          <w:r>
            <w:rPr>
              <w:rFonts w:ascii="黑体" w:hAnsi="黑体" w:eastAsia="黑体" w:cs="黑体"/>
              <w:bCs/>
              <w:szCs w:val="26"/>
            </w:rPr>
            <w:t>4.5.2 增强现实（AR）导览</w:t>
          </w:r>
          <w:r>
            <w:tab/>
          </w:r>
          <w:r>
            <w:fldChar w:fldCharType="begin"/>
          </w:r>
          <w:r>
            <w:instrText xml:space="preserve"> PAGEREF _Toc715 \h </w:instrText>
          </w:r>
          <w:r>
            <w:fldChar w:fldCharType="separate"/>
          </w:r>
          <w:r>
            <w:t>38</w:t>
          </w:r>
          <w:r>
            <w:fldChar w:fldCharType="end"/>
          </w:r>
          <w:r>
            <w:fldChar w:fldCharType="end"/>
          </w:r>
        </w:p>
        <w:p w14:paraId="0CED5D36">
          <w:pPr>
            <w:pStyle w:val="8"/>
            <w:tabs>
              <w:tab w:val="right" w:leader="dot" w:pos="9026"/>
            </w:tabs>
          </w:pPr>
          <w:r>
            <w:fldChar w:fldCharType="begin"/>
          </w:r>
          <w:r>
            <w:instrText xml:space="preserve"> HYPERLINK \l _Toc10217 </w:instrText>
          </w:r>
          <w:r>
            <w:fldChar w:fldCharType="separate"/>
          </w:r>
          <w:r>
            <w:rPr>
              <w:rFonts w:ascii="黑体" w:hAnsi="黑体" w:eastAsia="黑体" w:cs="黑体"/>
              <w:bCs/>
              <w:szCs w:val="26"/>
            </w:rPr>
            <w:t>4.5.3 交互式多媒体展示</w:t>
          </w:r>
          <w:r>
            <w:tab/>
          </w:r>
          <w:r>
            <w:fldChar w:fldCharType="begin"/>
          </w:r>
          <w:r>
            <w:instrText xml:space="preserve"> PAGEREF _Toc10217 \h </w:instrText>
          </w:r>
          <w:r>
            <w:fldChar w:fldCharType="separate"/>
          </w:r>
          <w:r>
            <w:t>39</w:t>
          </w:r>
          <w:r>
            <w:fldChar w:fldCharType="end"/>
          </w:r>
          <w:r>
            <w:fldChar w:fldCharType="end"/>
          </w:r>
        </w:p>
        <w:p w14:paraId="7383FFBD">
          <w:pPr>
            <w:pStyle w:val="12"/>
            <w:tabs>
              <w:tab w:val="right" w:leader="dot" w:pos="9026"/>
            </w:tabs>
          </w:pPr>
          <w:r>
            <w:fldChar w:fldCharType="begin"/>
          </w:r>
          <w:r>
            <w:instrText xml:space="preserve"> HYPERLINK \l _Toc30579 </w:instrText>
          </w:r>
          <w:r>
            <w:fldChar w:fldCharType="separate"/>
          </w:r>
          <w:r>
            <w:rPr>
              <w:rFonts w:ascii="黑体" w:hAnsi="黑体" w:eastAsia="黑体" w:cs="黑体"/>
              <w:bCs/>
              <w:szCs w:val="28"/>
            </w:rPr>
            <w:t>4.6 国际标准与最佳实践</w:t>
          </w:r>
          <w:r>
            <w:tab/>
          </w:r>
          <w:r>
            <w:fldChar w:fldCharType="begin"/>
          </w:r>
          <w:r>
            <w:instrText xml:space="preserve"> PAGEREF _Toc30579 \h </w:instrText>
          </w:r>
          <w:r>
            <w:fldChar w:fldCharType="separate"/>
          </w:r>
          <w:r>
            <w:t>39</w:t>
          </w:r>
          <w:r>
            <w:fldChar w:fldCharType="end"/>
          </w:r>
          <w:r>
            <w:fldChar w:fldCharType="end"/>
          </w:r>
        </w:p>
        <w:p w14:paraId="41AC6843">
          <w:pPr>
            <w:pStyle w:val="8"/>
            <w:tabs>
              <w:tab w:val="right" w:leader="dot" w:pos="9026"/>
            </w:tabs>
          </w:pPr>
          <w:r>
            <w:fldChar w:fldCharType="begin"/>
          </w:r>
          <w:r>
            <w:instrText xml:space="preserve"> HYPERLINK \l _Toc12889 </w:instrText>
          </w:r>
          <w:r>
            <w:fldChar w:fldCharType="separate"/>
          </w:r>
          <w:r>
            <w:rPr>
              <w:rFonts w:ascii="黑体" w:hAnsi="黑体" w:eastAsia="黑体" w:cs="黑体"/>
              <w:bCs/>
              <w:szCs w:val="26"/>
            </w:rPr>
            <w:t>4.6.1 国际文化遗产数字化标准</w:t>
          </w:r>
          <w:r>
            <w:tab/>
          </w:r>
          <w:r>
            <w:fldChar w:fldCharType="begin"/>
          </w:r>
          <w:r>
            <w:instrText xml:space="preserve"> PAGEREF _Toc12889 \h </w:instrText>
          </w:r>
          <w:r>
            <w:fldChar w:fldCharType="separate"/>
          </w:r>
          <w:r>
            <w:t>39</w:t>
          </w:r>
          <w:r>
            <w:fldChar w:fldCharType="end"/>
          </w:r>
          <w:r>
            <w:fldChar w:fldCharType="end"/>
          </w:r>
        </w:p>
        <w:p w14:paraId="7AED3DDA">
          <w:pPr>
            <w:pStyle w:val="8"/>
            <w:tabs>
              <w:tab w:val="right" w:leader="dot" w:pos="9026"/>
            </w:tabs>
          </w:pPr>
          <w:r>
            <w:fldChar w:fldCharType="begin"/>
          </w:r>
          <w:r>
            <w:instrText xml:space="preserve"> HYPERLINK \l _Toc4744 </w:instrText>
          </w:r>
          <w:r>
            <w:fldChar w:fldCharType="separate"/>
          </w:r>
          <w:r>
            <w:rPr>
              <w:rFonts w:ascii="黑体" w:hAnsi="黑体" w:eastAsia="黑体" w:cs="黑体"/>
              <w:bCs/>
              <w:szCs w:val="26"/>
            </w:rPr>
            <w:t>4.6.2 国内外典型案例</w:t>
          </w:r>
          <w:r>
            <w:tab/>
          </w:r>
          <w:r>
            <w:fldChar w:fldCharType="begin"/>
          </w:r>
          <w:r>
            <w:instrText xml:space="preserve"> PAGEREF _Toc4744 \h </w:instrText>
          </w:r>
          <w:r>
            <w:fldChar w:fldCharType="separate"/>
          </w:r>
          <w:r>
            <w:t>39</w:t>
          </w:r>
          <w:r>
            <w:fldChar w:fldCharType="end"/>
          </w:r>
          <w:r>
            <w:fldChar w:fldCharType="end"/>
          </w:r>
        </w:p>
        <w:p w14:paraId="3E0A14BD">
          <w:pPr>
            <w:pStyle w:val="12"/>
            <w:tabs>
              <w:tab w:val="right" w:leader="dot" w:pos="9026"/>
            </w:tabs>
          </w:pPr>
          <w:r>
            <w:fldChar w:fldCharType="begin"/>
          </w:r>
          <w:r>
            <w:instrText xml:space="preserve"> HYPERLINK \l _Toc22278 </w:instrText>
          </w:r>
          <w:r>
            <w:fldChar w:fldCharType="separate"/>
          </w:r>
          <w:r>
            <w:rPr>
              <w:rFonts w:ascii="黑体" w:hAnsi="黑体" w:eastAsia="黑体" w:cs="黑体"/>
              <w:bCs/>
              <w:szCs w:val="28"/>
            </w:rPr>
            <w:t>4.7 屯堡文化数字化的特殊挑战</w:t>
          </w:r>
          <w:r>
            <w:tab/>
          </w:r>
          <w:r>
            <w:fldChar w:fldCharType="begin"/>
          </w:r>
          <w:r>
            <w:instrText xml:space="preserve"> PAGEREF _Toc22278 \h </w:instrText>
          </w:r>
          <w:r>
            <w:fldChar w:fldCharType="separate"/>
          </w:r>
          <w:r>
            <w:t>39</w:t>
          </w:r>
          <w:r>
            <w:fldChar w:fldCharType="end"/>
          </w:r>
          <w:r>
            <w:fldChar w:fldCharType="end"/>
          </w:r>
        </w:p>
        <w:p w14:paraId="1C6849C4">
          <w:pPr>
            <w:pStyle w:val="8"/>
            <w:tabs>
              <w:tab w:val="right" w:leader="dot" w:pos="9026"/>
            </w:tabs>
          </w:pPr>
          <w:r>
            <w:fldChar w:fldCharType="begin"/>
          </w:r>
          <w:r>
            <w:instrText xml:space="preserve"> HYPERLINK \l _Toc21342 </w:instrText>
          </w:r>
          <w:r>
            <w:fldChar w:fldCharType="separate"/>
          </w:r>
          <w:r>
            <w:rPr>
              <w:rFonts w:ascii="黑体" w:hAnsi="黑体" w:eastAsia="黑体" w:cs="黑体"/>
              <w:bCs/>
              <w:szCs w:val="26"/>
            </w:rPr>
            <w:t>4.7.1 规模与分散性</w:t>
          </w:r>
          <w:r>
            <w:tab/>
          </w:r>
          <w:r>
            <w:fldChar w:fldCharType="begin"/>
          </w:r>
          <w:r>
            <w:instrText xml:space="preserve"> PAGEREF _Toc21342 \h </w:instrText>
          </w:r>
          <w:r>
            <w:fldChar w:fldCharType="separate"/>
          </w:r>
          <w:r>
            <w:t>39</w:t>
          </w:r>
          <w:r>
            <w:fldChar w:fldCharType="end"/>
          </w:r>
          <w:r>
            <w:fldChar w:fldCharType="end"/>
          </w:r>
        </w:p>
        <w:p w14:paraId="45F6C511">
          <w:pPr>
            <w:pStyle w:val="8"/>
            <w:tabs>
              <w:tab w:val="right" w:leader="dot" w:pos="9026"/>
            </w:tabs>
          </w:pPr>
          <w:r>
            <w:fldChar w:fldCharType="begin"/>
          </w:r>
          <w:r>
            <w:instrText xml:space="preserve"> HYPERLINK \l _Toc22027 </w:instrText>
          </w:r>
          <w:r>
            <w:fldChar w:fldCharType="separate"/>
          </w:r>
          <w:r>
            <w:rPr>
              <w:rFonts w:ascii="黑体" w:hAnsi="黑体" w:eastAsia="黑体" w:cs="黑体"/>
              <w:bCs/>
              <w:szCs w:val="26"/>
            </w:rPr>
            <w:t>4.7.2 物质与非物质并重</w:t>
          </w:r>
          <w:r>
            <w:tab/>
          </w:r>
          <w:r>
            <w:fldChar w:fldCharType="begin"/>
          </w:r>
          <w:r>
            <w:instrText xml:space="preserve"> PAGEREF _Toc22027 \h </w:instrText>
          </w:r>
          <w:r>
            <w:fldChar w:fldCharType="separate"/>
          </w:r>
          <w:r>
            <w:t>40</w:t>
          </w:r>
          <w:r>
            <w:fldChar w:fldCharType="end"/>
          </w:r>
          <w:r>
            <w:fldChar w:fldCharType="end"/>
          </w:r>
        </w:p>
        <w:p w14:paraId="7749E34E">
          <w:pPr>
            <w:pStyle w:val="8"/>
            <w:tabs>
              <w:tab w:val="right" w:leader="dot" w:pos="9026"/>
            </w:tabs>
          </w:pPr>
          <w:r>
            <w:fldChar w:fldCharType="begin"/>
          </w:r>
          <w:r>
            <w:instrText xml:space="preserve"> HYPERLINK \l _Toc10070 </w:instrText>
          </w:r>
          <w:r>
            <w:fldChar w:fldCharType="separate"/>
          </w:r>
          <w:r>
            <w:rPr>
              <w:rFonts w:ascii="黑体" w:hAnsi="黑体" w:eastAsia="黑体" w:cs="黑体"/>
              <w:bCs/>
              <w:szCs w:val="26"/>
            </w:rPr>
            <w:t>4.7.3 社区参与</w:t>
          </w:r>
          <w:r>
            <w:tab/>
          </w:r>
          <w:r>
            <w:fldChar w:fldCharType="begin"/>
          </w:r>
          <w:r>
            <w:instrText xml:space="preserve"> PAGEREF _Toc10070 \h </w:instrText>
          </w:r>
          <w:r>
            <w:fldChar w:fldCharType="separate"/>
          </w:r>
          <w:r>
            <w:t>40</w:t>
          </w:r>
          <w:r>
            <w:fldChar w:fldCharType="end"/>
          </w:r>
          <w:r>
            <w:fldChar w:fldCharType="end"/>
          </w:r>
        </w:p>
        <w:p w14:paraId="1C275F27">
          <w:pPr>
            <w:pStyle w:val="12"/>
            <w:tabs>
              <w:tab w:val="right" w:leader="dot" w:pos="9026"/>
            </w:tabs>
          </w:pPr>
          <w:r>
            <w:fldChar w:fldCharType="begin"/>
          </w:r>
          <w:r>
            <w:instrText xml:space="preserve"> HYPERLINK \l _Toc9781 </w:instrText>
          </w:r>
          <w:r>
            <w:fldChar w:fldCharType="separate"/>
          </w:r>
          <w:r>
            <w:rPr>
              <w:rFonts w:ascii="黑体" w:hAnsi="黑体" w:eastAsia="黑体" w:cs="黑体"/>
              <w:bCs/>
              <w:szCs w:val="28"/>
            </w:rPr>
            <w:t>本章小结</w:t>
          </w:r>
          <w:r>
            <w:tab/>
          </w:r>
          <w:r>
            <w:fldChar w:fldCharType="begin"/>
          </w:r>
          <w:r>
            <w:instrText xml:space="preserve"> PAGEREF _Toc9781 \h </w:instrText>
          </w:r>
          <w:r>
            <w:fldChar w:fldCharType="separate"/>
          </w:r>
          <w:r>
            <w:t>40</w:t>
          </w:r>
          <w:r>
            <w:fldChar w:fldCharType="end"/>
          </w:r>
          <w:r>
            <w:fldChar w:fldCharType="end"/>
          </w:r>
        </w:p>
        <w:p w14:paraId="6926E9A1">
          <w:pPr>
            <w:pStyle w:val="12"/>
            <w:tabs>
              <w:tab w:val="right" w:leader="dot" w:pos="9026"/>
            </w:tabs>
          </w:pPr>
          <w:r>
            <w:fldChar w:fldCharType="begin"/>
          </w:r>
          <w:r>
            <w:instrText xml:space="preserve"> HYPERLINK \l _Toc5446 </w:instrText>
          </w:r>
          <w:r>
            <w:fldChar w:fldCharType="separate"/>
          </w:r>
          <w:r>
            <w:rPr>
              <w:rFonts w:ascii="黑体" w:hAnsi="黑体" w:eastAsia="黑体" w:cs="黑体"/>
              <w:bCs/>
              <w:szCs w:val="28"/>
            </w:rPr>
            <w:t>思考与练习</w:t>
          </w:r>
          <w:r>
            <w:tab/>
          </w:r>
          <w:r>
            <w:fldChar w:fldCharType="begin"/>
          </w:r>
          <w:r>
            <w:instrText xml:space="preserve"> PAGEREF _Toc5446 \h </w:instrText>
          </w:r>
          <w:r>
            <w:fldChar w:fldCharType="separate"/>
          </w:r>
          <w:r>
            <w:t>40</w:t>
          </w:r>
          <w:r>
            <w:fldChar w:fldCharType="end"/>
          </w:r>
          <w:r>
            <w:fldChar w:fldCharType="end"/>
          </w:r>
        </w:p>
        <w:p w14:paraId="5B61C658">
          <w:pPr>
            <w:pStyle w:val="12"/>
            <w:tabs>
              <w:tab w:val="right" w:leader="dot" w:pos="9026"/>
            </w:tabs>
          </w:pPr>
          <w:r>
            <w:fldChar w:fldCharType="begin"/>
          </w:r>
          <w:r>
            <w:instrText xml:space="preserve"> HYPERLINK \l _Toc31031 </w:instrText>
          </w:r>
          <w:r>
            <w:fldChar w:fldCharType="separate"/>
          </w:r>
          <w:r>
            <w:rPr>
              <w:rFonts w:ascii="黑体" w:hAnsi="黑体" w:eastAsia="黑体" w:cs="黑体"/>
              <w:bCs/>
              <w:szCs w:val="28"/>
            </w:rPr>
            <w:t>知识卡片：主流数字化采集技术对比</w:t>
          </w:r>
          <w:r>
            <w:tab/>
          </w:r>
          <w:r>
            <w:fldChar w:fldCharType="begin"/>
          </w:r>
          <w:r>
            <w:instrText xml:space="preserve"> PAGEREF _Toc31031 \h </w:instrText>
          </w:r>
          <w:r>
            <w:fldChar w:fldCharType="separate"/>
          </w:r>
          <w:r>
            <w:t>40</w:t>
          </w:r>
          <w:r>
            <w:fldChar w:fldCharType="end"/>
          </w:r>
          <w:r>
            <w:fldChar w:fldCharType="end"/>
          </w:r>
        </w:p>
        <w:p w14:paraId="7C8024C5">
          <w:pPr>
            <w:pStyle w:val="10"/>
            <w:tabs>
              <w:tab w:val="right" w:leader="dot" w:pos="9026"/>
            </w:tabs>
          </w:pPr>
          <w:r>
            <w:fldChar w:fldCharType="begin"/>
          </w:r>
          <w:r>
            <w:instrText xml:space="preserve"> HYPERLINK \l _Toc7533 </w:instrText>
          </w:r>
          <w:r>
            <w:fldChar w:fldCharType="separate"/>
          </w:r>
          <w:r>
            <w:rPr>
              <w:rFonts w:ascii="黑体" w:hAnsi="黑体" w:eastAsia="黑体" w:cs="黑体"/>
              <w:bCs/>
              <w:szCs w:val="32"/>
            </w:rPr>
            <w:t>第 5 章  屯堡建筑与空间数字化</w:t>
          </w:r>
          <w:r>
            <w:tab/>
          </w:r>
          <w:r>
            <w:fldChar w:fldCharType="begin"/>
          </w:r>
          <w:r>
            <w:instrText xml:space="preserve"> PAGEREF _Toc7533 \h </w:instrText>
          </w:r>
          <w:r>
            <w:fldChar w:fldCharType="separate"/>
          </w:r>
          <w:r>
            <w:t>42</w:t>
          </w:r>
          <w:r>
            <w:fldChar w:fldCharType="end"/>
          </w:r>
          <w:r>
            <w:fldChar w:fldCharType="end"/>
          </w:r>
        </w:p>
        <w:p w14:paraId="5EC5B07F">
          <w:pPr>
            <w:pStyle w:val="12"/>
            <w:tabs>
              <w:tab w:val="right" w:leader="dot" w:pos="9026"/>
            </w:tabs>
          </w:pPr>
          <w:r>
            <w:fldChar w:fldCharType="begin"/>
          </w:r>
          <w:r>
            <w:instrText xml:space="preserve"> HYPERLINK \l _Toc22110 </w:instrText>
          </w:r>
          <w:r>
            <w:fldChar w:fldCharType="separate"/>
          </w:r>
          <w:r>
            <w:rPr>
              <w:rFonts w:ascii="黑体" w:hAnsi="黑体" w:eastAsia="黑体" w:cs="黑体"/>
              <w:bCs/>
              <w:szCs w:val="28"/>
            </w:rPr>
            <w:t>学习目标</w:t>
          </w:r>
          <w:r>
            <w:tab/>
          </w:r>
          <w:r>
            <w:fldChar w:fldCharType="begin"/>
          </w:r>
          <w:r>
            <w:instrText xml:space="preserve"> PAGEREF _Toc22110 \h </w:instrText>
          </w:r>
          <w:r>
            <w:fldChar w:fldCharType="separate"/>
          </w:r>
          <w:r>
            <w:t>42</w:t>
          </w:r>
          <w:r>
            <w:fldChar w:fldCharType="end"/>
          </w:r>
          <w:r>
            <w:fldChar w:fldCharType="end"/>
          </w:r>
        </w:p>
        <w:p w14:paraId="439477BE">
          <w:pPr>
            <w:pStyle w:val="12"/>
            <w:tabs>
              <w:tab w:val="right" w:leader="dot" w:pos="9026"/>
            </w:tabs>
          </w:pPr>
          <w:r>
            <w:fldChar w:fldCharType="begin"/>
          </w:r>
          <w:r>
            <w:instrText xml:space="preserve"> HYPERLINK \l _Toc14785 </w:instrText>
          </w:r>
          <w:r>
            <w:fldChar w:fldCharType="separate"/>
          </w:r>
          <w:r>
            <w:rPr>
              <w:rFonts w:ascii="黑体" w:hAnsi="黑体" w:eastAsia="黑体" w:cs="黑体"/>
              <w:bCs/>
              <w:szCs w:val="28"/>
            </w:rPr>
            <w:t>导入案例：本寨杨家老宅的数字档案</w:t>
          </w:r>
          <w:r>
            <w:tab/>
          </w:r>
          <w:r>
            <w:fldChar w:fldCharType="begin"/>
          </w:r>
          <w:r>
            <w:instrText xml:space="preserve"> PAGEREF _Toc14785 \h </w:instrText>
          </w:r>
          <w:r>
            <w:fldChar w:fldCharType="separate"/>
          </w:r>
          <w:r>
            <w:t>42</w:t>
          </w:r>
          <w:r>
            <w:fldChar w:fldCharType="end"/>
          </w:r>
          <w:r>
            <w:fldChar w:fldCharType="end"/>
          </w:r>
        </w:p>
        <w:p w14:paraId="7FCD35B0">
          <w:pPr>
            <w:pStyle w:val="12"/>
            <w:tabs>
              <w:tab w:val="right" w:leader="dot" w:pos="9026"/>
            </w:tabs>
          </w:pPr>
          <w:r>
            <w:fldChar w:fldCharType="begin"/>
          </w:r>
          <w:r>
            <w:instrText xml:space="preserve"> HYPERLINK \l _Toc10274 </w:instrText>
          </w:r>
          <w:r>
            <w:fldChar w:fldCharType="separate"/>
          </w:r>
          <w:r>
            <w:rPr>
              <w:rFonts w:ascii="黑体" w:hAnsi="黑体" w:eastAsia="黑体" w:cs="黑体"/>
              <w:bCs/>
              <w:szCs w:val="28"/>
            </w:rPr>
            <w:t>5.1 屯堡建筑数字化的整体方案</w:t>
          </w:r>
          <w:r>
            <w:tab/>
          </w:r>
          <w:r>
            <w:fldChar w:fldCharType="begin"/>
          </w:r>
          <w:r>
            <w:instrText xml:space="preserve"> PAGEREF _Toc10274 \h </w:instrText>
          </w:r>
          <w:r>
            <w:fldChar w:fldCharType="separate"/>
          </w:r>
          <w:r>
            <w:t>42</w:t>
          </w:r>
          <w:r>
            <w:fldChar w:fldCharType="end"/>
          </w:r>
          <w:r>
            <w:fldChar w:fldCharType="end"/>
          </w:r>
        </w:p>
        <w:p w14:paraId="347DE48E">
          <w:pPr>
            <w:pStyle w:val="8"/>
            <w:tabs>
              <w:tab w:val="right" w:leader="dot" w:pos="9026"/>
            </w:tabs>
          </w:pPr>
          <w:r>
            <w:fldChar w:fldCharType="begin"/>
          </w:r>
          <w:r>
            <w:instrText xml:space="preserve"> HYPERLINK \l _Toc2512 </w:instrText>
          </w:r>
          <w:r>
            <w:fldChar w:fldCharType="separate"/>
          </w:r>
          <w:r>
            <w:rPr>
              <w:rFonts w:ascii="黑体" w:hAnsi="黑体" w:eastAsia="黑体" w:cs="黑体"/>
              <w:bCs/>
              <w:szCs w:val="26"/>
            </w:rPr>
            <w:t>5.1.1 数字化分级策略</w:t>
          </w:r>
          <w:r>
            <w:tab/>
          </w:r>
          <w:r>
            <w:fldChar w:fldCharType="begin"/>
          </w:r>
          <w:r>
            <w:instrText xml:space="preserve"> PAGEREF _Toc2512 \h </w:instrText>
          </w:r>
          <w:r>
            <w:fldChar w:fldCharType="separate"/>
          </w:r>
          <w:r>
            <w:t>42</w:t>
          </w:r>
          <w:r>
            <w:fldChar w:fldCharType="end"/>
          </w:r>
          <w:r>
            <w:fldChar w:fldCharType="end"/>
          </w:r>
        </w:p>
        <w:p w14:paraId="3B94942B">
          <w:pPr>
            <w:pStyle w:val="8"/>
            <w:tabs>
              <w:tab w:val="right" w:leader="dot" w:pos="9026"/>
            </w:tabs>
          </w:pPr>
          <w:r>
            <w:fldChar w:fldCharType="begin"/>
          </w:r>
          <w:r>
            <w:instrText xml:space="preserve"> HYPERLINK \l _Toc15110 </w:instrText>
          </w:r>
          <w:r>
            <w:fldChar w:fldCharType="separate"/>
          </w:r>
          <w:r>
            <w:rPr>
              <w:rFonts w:ascii="黑体" w:hAnsi="黑体" w:eastAsia="黑体" w:cs="黑体"/>
              <w:bCs/>
              <w:szCs w:val="26"/>
            </w:rPr>
            <w:t>5.1.2 数字化工作流程</w:t>
          </w:r>
          <w:r>
            <w:tab/>
          </w:r>
          <w:r>
            <w:fldChar w:fldCharType="begin"/>
          </w:r>
          <w:r>
            <w:instrText xml:space="preserve"> PAGEREF _Toc15110 \h </w:instrText>
          </w:r>
          <w:r>
            <w:fldChar w:fldCharType="separate"/>
          </w:r>
          <w:r>
            <w:t>43</w:t>
          </w:r>
          <w:r>
            <w:fldChar w:fldCharType="end"/>
          </w:r>
          <w:r>
            <w:fldChar w:fldCharType="end"/>
          </w:r>
        </w:p>
        <w:p w14:paraId="013FC70C">
          <w:pPr>
            <w:pStyle w:val="12"/>
            <w:tabs>
              <w:tab w:val="right" w:leader="dot" w:pos="9026"/>
            </w:tabs>
          </w:pPr>
          <w:r>
            <w:fldChar w:fldCharType="begin"/>
          </w:r>
          <w:r>
            <w:instrText xml:space="preserve"> HYPERLINK \l _Toc20113 </w:instrText>
          </w:r>
          <w:r>
            <w:fldChar w:fldCharType="separate"/>
          </w:r>
          <w:r>
            <w:rPr>
              <w:rFonts w:ascii="黑体" w:hAnsi="黑体" w:eastAsia="黑体" w:cs="黑体"/>
              <w:bCs/>
              <w:szCs w:val="28"/>
            </w:rPr>
            <w:t>5.2 屯堡建筑三维数据采集</w:t>
          </w:r>
          <w:r>
            <w:tab/>
          </w:r>
          <w:r>
            <w:fldChar w:fldCharType="begin"/>
          </w:r>
          <w:r>
            <w:instrText xml:space="preserve"> PAGEREF _Toc20113 \h </w:instrText>
          </w:r>
          <w:r>
            <w:fldChar w:fldCharType="separate"/>
          </w:r>
          <w:r>
            <w:t>43</w:t>
          </w:r>
          <w:r>
            <w:fldChar w:fldCharType="end"/>
          </w:r>
          <w:r>
            <w:fldChar w:fldCharType="end"/>
          </w:r>
        </w:p>
        <w:p w14:paraId="3BF72DD7">
          <w:pPr>
            <w:pStyle w:val="8"/>
            <w:tabs>
              <w:tab w:val="right" w:leader="dot" w:pos="9026"/>
            </w:tabs>
          </w:pPr>
          <w:r>
            <w:fldChar w:fldCharType="begin"/>
          </w:r>
          <w:r>
            <w:instrText xml:space="preserve"> HYPERLINK \l _Toc24736 </w:instrText>
          </w:r>
          <w:r>
            <w:fldChar w:fldCharType="separate"/>
          </w:r>
          <w:r>
            <w:rPr>
              <w:rFonts w:ascii="黑体" w:hAnsi="黑体" w:eastAsia="黑体" w:cs="黑体"/>
              <w:bCs/>
              <w:szCs w:val="26"/>
            </w:rPr>
            <w:t>5.2.1 地面激光扫描方案</w:t>
          </w:r>
          <w:r>
            <w:tab/>
          </w:r>
          <w:r>
            <w:fldChar w:fldCharType="begin"/>
          </w:r>
          <w:r>
            <w:instrText xml:space="preserve"> PAGEREF _Toc24736 \h </w:instrText>
          </w:r>
          <w:r>
            <w:fldChar w:fldCharType="separate"/>
          </w:r>
          <w:r>
            <w:t>43</w:t>
          </w:r>
          <w:r>
            <w:fldChar w:fldCharType="end"/>
          </w:r>
          <w:r>
            <w:fldChar w:fldCharType="end"/>
          </w:r>
        </w:p>
        <w:p w14:paraId="5558EB3A">
          <w:pPr>
            <w:pStyle w:val="8"/>
            <w:tabs>
              <w:tab w:val="right" w:leader="dot" w:pos="9026"/>
            </w:tabs>
          </w:pPr>
          <w:r>
            <w:fldChar w:fldCharType="begin"/>
          </w:r>
          <w:r>
            <w:instrText xml:space="preserve"> HYPERLINK \l _Toc15827 </w:instrText>
          </w:r>
          <w:r>
            <w:fldChar w:fldCharType="separate"/>
          </w:r>
          <w:r>
            <w:rPr>
              <w:rFonts w:ascii="黑体" w:hAnsi="黑体" w:eastAsia="黑体" w:cs="黑体"/>
              <w:bCs/>
              <w:szCs w:val="26"/>
            </w:rPr>
            <w:t>5.2.2 无人机倾斜摄影方案</w:t>
          </w:r>
          <w:r>
            <w:tab/>
          </w:r>
          <w:r>
            <w:fldChar w:fldCharType="begin"/>
          </w:r>
          <w:r>
            <w:instrText xml:space="preserve"> PAGEREF _Toc15827 \h </w:instrText>
          </w:r>
          <w:r>
            <w:fldChar w:fldCharType="separate"/>
          </w:r>
          <w:r>
            <w:t>44</w:t>
          </w:r>
          <w:r>
            <w:fldChar w:fldCharType="end"/>
          </w:r>
          <w:r>
            <w:fldChar w:fldCharType="end"/>
          </w:r>
        </w:p>
        <w:p w14:paraId="1E3B754B">
          <w:pPr>
            <w:pStyle w:val="8"/>
            <w:tabs>
              <w:tab w:val="right" w:leader="dot" w:pos="9026"/>
            </w:tabs>
          </w:pPr>
          <w:r>
            <w:fldChar w:fldCharType="begin"/>
          </w:r>
          <w:r>
            <w:instrText xml:space="preserve"> HYPERLINK \l _Toc16325 </w:instrText>
          </w:r>
          <w:r>
            <w:fldChar w:fldCharType="separate"/>
          </w:r>
          <w:r>
            <w:rPr>
              <w:rFonts w:ascii="黑体" w:hAnsi="黑体" w:eastAsia="黑体" w:cs="黑体"/>
              <w:bCs/>
              <w:szCs w:val="26"/>
            </w:rPr>
            <w:t>5.2.3 手持与近景扫描</w:t>
          </w:r>
          <w:r>
            <w:tab/>
          </w:r>
          <w:r>
            <w:fldChar w:fldCharType="begin"/>
          </w:r>
          <w:r>
            <w:instrText xml:space="preserve"> PAGEREF _Toc16325 \h </w:instrText>
          </w:r>
          <w:r>
            <w:fldChar w:fldCharType="separate"/>
          </w:r>
          <w:r>
            <w:t>44</w:t>
          </w:r>
          <w:r>
            <w:fldChar w:fldCharType="end"/>
          </w:r>
          <w:r>
            <w:fldChar w:fldCharType="end"/>
          </w:r>
        </w:p>
        <w:p w14:paraId="7D799732">
          <w:pPr>
            <w:pStyle w:val="12"/>
            <w:tabs>
              <w:tab w:val="right" w:leader="dot" w:pos="9026"/>
            </w:tabs>
          </w:pPr>
          <w:r>
            <w:fldChar w:fldCharType="begin"/>
          </w:r>
          <w:r>
            <w:instrText xml:space="preserve"> HYPERLINK \l _Toc12859 </w:instrText>
          </w:r>
          <w:r>
            <w:fldChar w:fldCharType="separate"/>
          </w:r>
          <w:r>
            <w:rPr>
              <w:rFonts w:ascii="黑体" w:hAnsi="黑体" w:eastAsia="黑体" w:cs="黑体"/>
              <w:bCs/>
              <w:szCs w:val="28"/>
            </w:rPr>
            <w:t>5.3 屯堡建筑HBIM建模</w:t>
          </w:r>
          <w:r>
            <w:tab/>
          </w:r>
          <w:r>
            <w:fldChar w:fldCharType="begin"/>
          </w:r>
          <w:r>
            <w:instrText xml:space="preserve"> PAGEREF _Toc12859 \h </w:instrText>
          </w:r>
          <w:r>
            <w:fldChar w:fldCharType="separate"/>
          </w:r>
          <w:r>
            <w:t>44</w:t>
          </w:r>
          <w:r>
            <w:fldChar w:fldCharType="end"/>
          </w:r>
          <w:r>
            <w:fldChar w:fldCharType="end"/>
          </w:r>
        </w:p>
        <w:p w14:paraId="0B17ACD8">
          <w:pPr>
            <w:pStyle w:val="8"/>
            <w:tabs>
              <w:tab w:val="right" w:leader="dot" w:pos="9026"/>
            </w:tabs>
          </w:pPr>
          <w:r>
            <w:fldChar w:fldCharType="begin"/>
          </w:r>
          <w:r>
            <w:instrText xml:space="preserve"> HYPERLINK \l _Toc25386 </w:instrText>
          </w:r>
          <w:r>
            <w:fldChar w:fldCharType="separate"/>
          </w:r>
          <w:r>
            <w:rPr>
              <w:rFonts w:ascii="黑体" w:hAnsi="黑体" w:eastAsia="黑体" w:cs="黑体"/>
              <w:bCs/>
              <w:szCs w:val="26"/>
            </w:rPr>
            <w:t>5.3.1 屯堡建筑构件分类体系</w:t>
          </w:r>
          <w:r>
            <w:tab/>
          </w:r>
          <w:r>
            <w:fldChar w:fldCharType="begin"/>
          </w:r>
          <w:r>
            <w:instrText xml:space="preserve"> PAGEREF _Toc25386 \h </w:instrText>
          </w:r>
          <w:r>
            <w:fldChar w:fldCharType="separate"/>
          </w:r>
          <w:r>
            <w:t>44</w:t>
          </w:r>
          <w:r>
            <w:fldChar w:fldCharType="end"/>
          </w:r>
          <w:r>
            <w:fldChar w:fldCharType="end"/>
          </w:r>
        </w:p>
        <w:p w14:paraId="2B2B1075">
          <w:pPr>
            <w:pStyle w:val="8"/>
            <w:tabs>
              <w:tab w:val="right" w:leader="dot" w:pos="9026"/>
            </w:tabs>
          </w:pPr>
          <w:r>
            <w:fldChar w:fldCharType="begin"/>
          </w:r>
          <w:r>
            <w:instrText xml:space="preserve"> HYPERLINK \l _Toc9179 </w:instrText>
          </w:r>
          <w:r>
            <w:fldChar w:fldCharType="separate"/>
          </w:r>
          <w:r>
            <w:rPr>
              <w:rFonts w:ascii="黑体" w:hAnsi="黑体" w:eastAsia="黑体" w:cs="黑体"/>
              <w:bCs/>
              <w:szCs w:val="26"/>
            </w:rPr>
            <w:t>5.3.2 从点云到HBIM的建模方法</w:t>
          </w:r>
          <w:r>
            <w:tab/>
          </w:r>
          <w:r>
            <w:fldChar w:fldCharType="begin"/>
          </w:r>
          <w:r>
            <w:instrText xml:space="preserve"> PAGEREF _Toc9179 \h </w:instrText>
          </w:r>
          <w:r>
            <w:fldChar w:fldCharType="separate"/>
          </w:r>
          <w:r>
            <w:t>45</w:t>
          </w:r>
          <w:r>
            <w:fldChar w:fldCharType="end"/>
          </w:r>
          <w:r>
            <w:fldChar w:fldCharType="end"/>
          </w:r>
        </w:p>
        <w:p w14:paraId="0F8E21D0">
          <w:pPr>
            <w:pStyle w:val="8"/>
            <w:tabs>
              <w:tab w:val="right" w:leader="dot" w:pos="9026"/>
            </w:tabs>
          </w:pPr>
          <w:r>
            <w:fldChar w:fldCharType="begin"/>
          </w:r>
          <w:r>
            <w:instrText xml:space="preserve"> HYPERLINK \l _Toc25082 </w:instrText>
          </w:r>
          <w:r>
            <w:fldChar w:fldCharType="separate"/>
          </w:r>
          <w:r>
            <w:rPr>
              <w:rFonts w:ascii="黑体" w:hAnsi="黑体" w:eastAsia="黑体" w:cs="黑体"/>
              <w:bCs/>
              <w:szCs w:val="26"/>
            </w:rPr>
            <w:t>5.3.3 属性信息录入</w:t>
          </w:r>
          <w:r>
            <w:tab/>
          </w:r>
          <w:r>
            <w:fldChar w:fldCharType="begin"/>
          </w:r>
          <w:r>
            <w:instrText xml:space="preserve"> PAGEREF _Toc25082 \h </w:instrText>
          </w:r>
          <w:r>
            <w:fldChar w:fldCharType="separate"/>
          </w:r>
          <w:r>
            <w:t>45</w:t>
          </w:r>
          <w:r>
            <w:fldChar w:fldCharType="end"/>
          </w:r>
          <w:r>
            <w:fldChar w:fldCharType="end"/>
          </w:r>
        </w:p>
        <w:p w14:paraId="06D784A0">
          <w:pPr>
            <w:pStyle w:val="8"/>
            <w:tabs>
              <w:tab w:val="right" w:leader="dot" w:pos="9026"/>
            </w:tabs>
          </w:pPr>
          <w:r>
            <w:fldChar w:fldCharType="begin"/>
          </w:r>
          <w:r>
            <w:instrText xml:space="preserve"> HYPERLINK \l _Toc30453 </w:instrText>
          </w:r>
          <w:r>
            <w:fldChar w:fldCharType="separate"/>
          </w:r>
          <w:r>
            <w:rPr>
              <w:rFonts w:ascii="黑体" w:hAnsi="黑体" w:eastAsia="黑体" w:cs="黑体"/>
              <w:bCs/>
              <w:szCs w:val="26"/>
            </w:rPr>
            <w:t>5.3.4 典型案例：杨家老宅HBIM模型</w:t>
          </w:r>
          <w:r>
            <w:tab/>
          </w:r>
          <w:r>
            <w:fldChar w:fldCharType="begin"/>
          </w:r>
          <w:r>
            <w:instrText xml:space="preserve"> PAGEREF _Toc30453 \h </w:instrText>
          </w:r>
          <w:r>
            <w:fldChar w:fldCharType="separate"/>
          </w:r>
          <w:r>
            <w:t>46</w:t>
          </w:r>
          <w:r>
            <w:fldChar w:fldCharType="end"/>
          </w:r>
          <w:r>
            <w:fldChar w:fldCharType="end"/>
          </w:r>
        </w:p>
        <w:p w14:paraId="13480CF3">
          <w:pPr>
            <w:pStyle w:val="12"/>
            <w:tabs>
              <w:tab w:val="right" w:leader="dot" w:pos="9026"/>
            </w:tabs>
          </w:pPr>
          <w:r>
            <w:fldChar w:fldCharType="begin"/>
          </w:r>
          <w:r>
            <w:instrText xml:space="preserve"> HYPERLINK \l _Toc6705 </w:instrText>
          </w:r>
          <w:r>
            <w:fldChar w:fldCharType="separate"/>
          </w:r>
          <w:r>
            <w:rPr>
              <w:rFonts w:ascii="黑体" w:hAnsi="黑体" w:eastAsia="黑体" w:cs="黑体"/>
              <w:bCs/>
              <w:szCs w:val="28"/>
            </w:rPr>
            <w:t>5.4 屯堡村寨空间格局的数字化分析</w:t>
          </w:r>
          <w:r>
            <w:tab/>
          </w:r>
          <w:r>
            <w:fldChar w:fldCharType="begin"/>
          </w:r>
          <w:r>
            <w:instrText xml:space="preserve"> PAGEREF _Toc6705 \h </w:instrText>
          </w:r>
          <w:r>
            <w:fldChar w:fldCharType="separate"/>
          </w:r>
          <w:r>
            <w:t>46</w:t>
          </w:r>
          <w:r>
            <w:fldChar w:fldCharType="end"/>
          </w:r>
          <w:r>
            <w:fldChar w:fldCharType="end"/>
          </w:r>
        </w:p>
        <w:p w14:paraId="5BD83F7A">
          <w:pPr>
            <w:pStyle w:val="8"/>
            <w:tabs>
              <w:tab w:val="right" w:leader="dot" w:pos="9026"/>
            </w:tabs>
          </w:pPr>
          <w:r>
            <w:fldChar w:fldCharType="begin"/>
          </w:r>
          <w:r>
            <w:instrText xml:space="preserve"> HYPERLINK \l _Toc22886 </w:instrText>
          </w:r>
          <w:r>
            <w:fldChar w:fldCharType="separate"/>
          </w:r>
          <w:r>
            <w:rPr>
              <w:rFonts w:ascii="黑体" w:hAnsi="黑体" w:eastAsia="黑体" w:cs="黑体"/>
              <w:bCs/>
              <w:szCs w:val="26"/>
            </w:rPr>
            <w:t>5.4.1 GIS空间分析</w:t>
          </w:r>
          <w:r>
            <w:tab/>
          </w:r>
          <w:r>
            <w:fldChar w:fldCharType="begin"/>
          </w:r>
          <w:r>
            <w:instrText xml:space="preserve"> PAGEREF _Toc22886 \h </w:instrText>
          </w:r>
          <w:r>
            <w:fldChar w:fldCharType="separate"/>
          </w:r>
          <w:r>
            <w:t>46</w:t>
          </w:r>
          <w:r>
            <w:fldChar w:fldCharType="end"/>
          </w:r>
          <w:r>
            <w:fldChar w:fldCharType="end"/>
          </w:r>
        </w:p>
        <w:p w14:paraId="3941CCF1">
          <w:pPr>
            <w:pStyle w:val="8"/>
            <w:tabs>
              <w:tab w:val="right" w:leader="dot" w:pos="9026"/>
            </w:tabs>
          </w:pPr>
          <w:r>
            <w:fldChar w:fldCharType="begin"/>
          </w:r>
          <w:r>
            <w:instrText xml:space="preserve"> HYPERLINK \l _Toc29373 </w:instrText>
          </w:r>
          <w:r>
            <w:fldChar w:fldCharType="separate"/>
          </w:r>
          <w:r>
            <w:rPr>
              <w:rFonts w:ascii="黑体" w:hAnsi="黑体" w:eastAsia="黑体" w:cs="黑体"/>
              <w:bCs/>
              <w:szCs w:val="26"/>
            </w:rPr>
            <w:t>5.4.2 屯堡文化地理信息系统</w:t>
          </w:r>
          <w:r>
            <w:tab/>
          </w:r>
          <w:r>
            <w:fldChar w:fldCharType="begin"/>
          </w:r>
          <w:r>
            <w:instrText xml:space="preserve"> PAGEREF _Toc29373 \h </w:instrText>
          </w:r>
          <w:r>
            <w:fldChar w:fldCharType="separate"/>
          </w:r>
          <w:r>
            <w:t>46</w:t>
          </w:r>
          <w:r>
            <w:fldChar w:fldCharType="end"/>
          </w:r>
          <w:r>
            <w:fldChar w:fldCharType="end"/>
          </w:r>
        </w:p>
        <w:p w14:paraId="61863B1B">
          <w:pPr>
            <w:pStyle w:val="12"/>
            <w:tabs>
              <w:tab w:val="right" w:leader="dot" w:pos="9026"/>
            </w:tabs>
          </w:pPr>
          <w:r>
            <w:fldChar w:fldCharType="begin"/>
          </w:r>
          <w:r>
            <w:instrText xml:space="preserve"> HYPERLINK \l _Toc27845 </w:instrText>
          </w:r>
          <w:r>
            <w:fldChar w:fldCharType="separate"/>
          </w:r>
          <w:r>
            <w:rPr>
              <w:rFonts w:ascii="黑体" w:hAnsi="黑体" w:eastAsia="黑体" w:cs="黑体"/>
              <w:bCs/>
              <w:szCs w:val="28"/>
            </w:rPr>
            <w:t>5.5 屯堡建筑数字孪生</w:t>
          </w:r>
          <w:r>
            <w:tab/>
          </w:r>
          <w:r>
            <w:fldChar w:fldCharType="begin"/>
          </w:r>
          <w:r>
            <w:instrText xml:space="preserve"> PAGEREF _Toc27845 \h </w:instrText>
          </w:r>
          <w:r>
            <w:fldChar w:fldCharType="separate"/>
          </w:r>
          <w:r>
            <w:t>47</w:t>
          </w:r>
          <w:r>
            <w:fldChar w:fldCharType="end"/>
          </w:r>
          <w:r>
            <w:fldChar w:fldCharType="end"/>
          </w:r>
        </w:p>
        <w:p w14:paraId="15540B9F">
          <w:pPr>
            <w:pStyle w:val="8"/>
            <w:tabs>
              <w:tab w:val="right" w:leader="dot" w:pos="9026"/>
            </w:tabs>
          </w:pPr>
          <w:r>
            <w:fldChar w:fldCharType="begin"/>
          </w:r>
          <w:r>
            <w:instrText xml:space="preserve"> HYPERLINK \l _Toc2994 </w:instrText>
          </w:r>
          <w:r>
            <w:fldChar w:fldCharType="separate"/>
          </w:r>
          <w:r>
            <w:rPr>
              <w:rFonts w:ascii="黑体" w:hAnsi="黑体" w:eastAsia="黑体" w:cs="黑体"/>
              <w:bCs/>
              <w:szCs w:val="26"/>
            </w:rPr>
            <w:t>5.5.1 传感器布设方案</w:t>
          </w:r>
          <w:r>
            <w:tab/>
          </w:r>
          <w:r>
            <w:fldChar w:fldCharType="begin"/>
          </w:r>
          <w:r>
            <w:instrText xml:space="preserve"> PAGEREF _Toc2994 \h </w:instrText>
          </w:r>
          <w:r>
            <w:fldChar w:fldCharType="separate"/>
          </w:r>
          <w:r>
            <w:t>47</w:t>
          </w:r>
          <w:r>
            <w:fldChar w:fldCharType="end"/>
          </w:r>
          <w:r>
            <w:fldChar w:fldCharType="end"/>
          </w:r>
        </w:p>
        <w:p w14:paraId="17704395">
          <w:pPr>
            <w:pStyle w:val="8"/>
            <w:tabs>
              <w:tab w:val="right" w:leader="dot" w:pos="9026"/>
            </w:tabs>
          </w:pPr>
          <w:r>
            <w:fldChar w:fldCharType="begin"/>
          </w:r>
          <w:r>
            <w:instrText xml:space="preserve"> HYPERLINK \l _Toc10827 </w:instrText>
          </w:r>
          <w:r>
            <w:fldChar w:fldCharType="separate"/>
          </w:r>
          <w:r>
            <w:rPr>
              <w:rFonts w:ascii="黑体" w:hAnsi="黑体" w:eastAsia="黑体" w:cs="黑体"/>
              <w:bCs/>
              <w:szCs w:val="26"/>
            </w:rPr>
            <w:t>5.5.2 数字孪生平台架构</w:t>
          </w:r>
          <w:r>
            <w:tab/>
          </w:r>
          <w:r>
            <w:fldChar w:fldCharType="begin"/>
          </w:r>
          <w:r>
            <w:instrText xml:space="preserve"> PAGEREF _Toc10827 \h </w:instrText>
          </w:r>
          <w:r>
            <w:fldChar w:fldCharType="separate"/>
          </w:r>
          <w:r>
            <w:t>47</w:t>
          </w:r>
          <w:r>
            <w:fldChar w:fldCharType="end"/>
          </w:r>
          <w:r>
            <w:fldChar w:fldCharType="end"/>
          </w:r>
        </w:p>
        <w:p w14:paraId="46E6CBFC">
          <w:pPr>
            <w:pStyle w:val="8"/>
            <w:tabs>
              <w:tab w:val="right" w:leader="dot" w:pos="9026"/>
            </w:tabs>
          </w:pPr>
          <w:r>
            <w:fldChar w:fldCharType="begin"/>
          </w:r>
          <w:r>
            <w:instrText xml:space="preserve"> HYPERLINK \l _Toc13589 </w:instrText>
          </w:r>
          <w:r>
            <w:fldChar w:fldCharType="separate"/>
          </w:r>
          <w:r>
            <w:rPr>
              <w:rFonts w:ascii="黑体" w:hAnsi="黑体" w:eastAsia="黑体" w:cs="黑体"/>
              <w:bCs/>
              <w:szCs w:val="26"/>
            </w:rPr>
            <w:t>5.5.3 预警与决策支持</w:t>
          </w:r>
          <w:r>
            <w:tab/>
          </w:r>
          <w:r>
            <w:fldChar w:fldCharType="begin"/>
          </w:r>
          <w:r>
            <w:instrText xml:space="preserve"> PAGEREF _Toc13589 \h </w:instrText>
          </w:r>
          <w:r>
            <w:fldChar w:fldCharType="separate"/>
          </w:r>
          <w:r>
            <w:t>48</w:t>
          </w:r>
          <w:r>
            <w:fldChar w:fldCharType="end"/>
          </w:r>
          <w:r>
            <w:fldChar w:fldCharType="end"/>
          </w:r>
        </w:p>
        <w:p w14:paraId="62E3A1D0">
          <w:pPr>
            <w:pStyle w:val="12"/>
            <w:tabs>
              <w:tab w:val="right" w:leader="dot" w:pos="9026"/>
            </w:tabs>
          </w:pPr>
          <w:r>
            <w:fldChar w:fldCharType="begin"/>
          </w:r>
          <w:r>
            <w:instrText xml:space="preserve"> HYPERLINK \l _Toc5864 </w:instrText>
          </w:r>
          <w:r>
            <w:fldChar w:fldCharType="separate"/>
          </w:r>
          <w:r>
            <w:rPr>
              <w:rFonts w:ascii="黑体" w:hAnsi="黑体" w:eastAsia="黑体" w:cs="黑体"/>
              <w:bCs/>
              <w:szCs w:val="28"/>
            </w:rPr>
            <w:t>5.6 实践案例：云山屯数字化项目</w:t>
          </w:r>
          <w:r>
            <w:tab/>
          </w:r>
          <w:r>
            <w:fldChar w:fldCharType="begin"/>
          </w:r>
          <w:r>
            <w:instrText xml:space="preserve"> PAGEREF _Toc5864 \h </w:instrText>
          </w:r>
          <w:r>
            <w:fldChar w:fldCharType="separate"/>
          </w:r>
          <w:r>
            <w:t>48</w:t>
          </w:r>
          <w:r>
            <w:fldChar w:fldCharType="end"/>
          </w:r>
          <w:r>
            <w:fldChar w:fldCharType="end"/>
          </w:r>
        </w:p>
        <w:p w14:paraId="258A0422">
          <w:pPr>
            <w:pStyle w:val="8"/>
            <w:tabs>
              <w:tab w:val="right" w:leader="dot" w:pos="9026"/>
            </w:tabs>
          </w:pPr>
          <w:r>
            <w:fldChar w:fldCharType="begin"/>
          </w:r>
          <w:r>
            <w:instrText xml:space="preserve"> HYPERLINK \l _Toc2315 </w:instrText>
          </w:r>
          <w:r>
            <w:fldChar w:fldCharType="separate"/>
          </w:r>
          <w:r>
            <w:rPr>
              <w:rFonts w:ascii="黑体" w:hAnsi="黑体" w:eastAsia="黑体" w:cs="黑体"/>
              <w:bCs/>
              <w:szCs w:val="26"/>
            </w:rPr>
            <w:t>5.6.1 项目概况</w:t>
          </w:r>
          <w:r>
            <w:tab/>
          </w:r>
          <w:r>
            <w:fldChar w:fldCharType="begin"/>
          </w:r>
          <w:r>
            <w:instrText xml:space="preserve"> PAGEREF _Toc2315 \h </w:instrText>
          </w:r>
          <w:r>
            <w:fldChar w:fldCharType="separate"/>
          </w:r>
          <w:r>
            <w:t>48</w:t>
          </w:r>
          <w:r>
            <w:fldChar w:fldCharType="end"/>
          </w:r>
          <w:r>
            <w:fldChar w:fldCharType="end"/>
          </w:r>
        </w:p>
        <w:p w14:paraId="6DE24169">
          <w:pPr>
            <w:pStyle w:val="8"/>
            <w:tabs>
              <w:tab w:val="right" w:leader="dot" w:pos="9026"/>
            </w:tabs>
          </w:pPr>
          <w:r>
            <w:fldChar w:fldCharType="begin"/>
          </w:r>
          <w:r>
            <w:instrText xml:space="preserve"> HYPERLINK \l _Toc20802 </w:instrText>
          </w:r>
          <w:r>
            <w:fldChar w:fldCharType="separate"/>
          </w:r>
          <w:r>
            <w:rPr>
              <w:rFonts w:ascii="黑体" w:hAnsi="黑体" w:eastAsia="黑体" w:cs="黑体"/>
              <w:bCs/>
              <w:szCs w:val="26"/>
            </w:rPr>
            <w:t>5.6.2 技术方案</w:t>
          </w:r>
          <w:r>
            <w:tab/>
          </w:r>
          <w:r>
            <w:fldChar w:fldCharType="begin"/>
          </w:r>
          <w:r>
            <w:instrText xml:space="preserve"> PAGEREF _Toc20802 \h </w:instrText>
          </w:r>
          <w:r>
            <w:fldChar w:fldCharType="separate"/>
          </w:r>
          <w:r>
            <w:t>48</w:t>
          </w:r>
          <w:r>
            <w:fldChar w:fldCharType="end"/>
          </w:r>
          <w:r>
            <w:fldChar w:fldCharType="end"/>
          </w:r>
        </w:p>
        <w:p w14:paraId="4B891EA0">
          <w:pPr>
            <w:pStyle w:val="8"/>
            <w:tabs>
              <w:tab w:val="right" w:leader="dot" w:pos="9026"/>
            </w:tabs>
          </w:pPr>
          <w:r>
            <w:fldChar w:fldCharType="begin"/>
          </w:r>
          <w:r>
            <w:instrText xml:space="preserve"> HYPERLINK \l _Toc11371 </w:instrText>
          </w:r>
          <w:r>
            <w:fldChar w:fldCharType="separate"/>
          </w:r>
          <w:r>
            <w:rPr>
              <w:rFonts w:ascii="黑体" w:hAnsi="黑体" w:eastAsia="黑体" w:cs="黑体"/>
              <w:bCs/>
              <w:szCs w:val="26"/>
            </w:rPr>
            <w:t>5.6.3 主要成果</w:t>
          </w:r>
          <w:r>
            <w:tab/>
          </w:r>
          <w:r>
            <w:fldChar w:fldCharType="begin"/>
          </w:r>
          <w:r>
            <w:instrText xml:space="preserve"> PAGEREF _Toc11371 \h </w:instrText>
          </w:r>
          <w:r>
            <w:fldChar w:fldCharType="separate"/>
          </w:r>
          <w:r>
            <w:t>48</w:t>
          </w:r>
          <w:r>
            <w:fldChar w:fldCharType="end"/>
          </w:r>
          <w:r>
            <w:fldChar w:fldCharType="end"/>
          </w:r>
        </w:p>
        <w:p w14:paraId="07CE2DC9">
          <w:pPr>
            <w:pStyle w:val="8"/>
            <w:tabs>
              <w:tab w:val="right" w:leader="dot" w:pos="9026"/>
            </w:tabs>
          </w:pPr>
          <w:r>
            <w:fldChar w:fldCharType="begin"/>
          </w:r>
          <w:r>
            <w:instrText xml:space="preserve"> HYPERLINK \l _Toc4209 </w:instrText>
          </w:r>
          <w:r>
            <w:fldChar w:fldCharType="separate"/>
          </w:r>
          <w:r>
            <w:rPr>
              <w:rFonts w:ascii="黑体" w:hAnsi="黑体" w:eastAsia="黑体" w:cs="黑体"/>
              <w:bCs/>
              <w:szCs w:val="26"/>
            </w:rPr>
            <w:t>5.6.4 经验与启示</w:t>
          </w:r>
          <w:r>
            <w:tab/>
          </w:r>
          <w:r>
            <w:fldChar w:fldCharType="begin"/>
          </w:r>
          <w:r>
            <w:instrText xml:space="preserve"> PAGEREF _Toc4209 \h </w:instrText>
          </w:r>
          <w:r>
            <w:fldChar w:fldCharType="separate"/>
          </w:r>
          <w:r>
            <w:t>48</w:t>
          </w:r>
          <w:r>
            <w:fldChar w:fldCharType="end"/>
          </w:r>
          <w:r>
            <w:fldChar w:fldCharType="end"/>
          </w:r>
        </w:p>
        <w:p w14:paraId="462558DD">
          <w:pPr>
            <w:pStyle w:val="12"/>
            <w:tabs>
              <w:tab w:val="right" w:leader="dot" w:pos="9026"/>
            </w:tabs>
          </w:pPr>
          <w:r>
            <w:fldChar w:fldCharType="begin"/>
          </w:r>
          <w:r>
            <w:instrText xml:space="preserve"> HYPERLINK \l _Toc4365 </w:instrText>
          </w:r>
          <w:r>
            <w:fldChar w:fldCharType="separate"/>
          </w:r>
          <w:r>
            <w:rPr>
              <w:rFonts w:ascii="黑体" w:hAnsi="黑体" w:eastAsia="黑体" w:cs="黑体"/>
              <w:bCs/>
              <w:szCs w:val="28"/>
            </w:rPr>
            <w:t>本章小结</w:t>
          </w:r>
          <w:r>
            <w:tab/>
          </w:r>
          <w:r>
            <w:fldChar w:fldCharType="begin"/>
          </w:r>
          <w:r>
            <w:instrText xml:space="preserve"> PAGEREF _Toc4365 \h </w:instrText>
          </w:r>
          <w:r>
            <w:fldChar w:fldCharType="separate"/>
          </w:r>
          <w:r>
            <w:t>49</w:t>
          </w:r>
          <w:r>
            <w:fldChar w:fldCharType="end"/>
          </w:r>
          <w:r>
            <w:fldChar w:fldCharType="end"/>
          </w:r>
        </w:p>
        <w:p w14:paraId="6DFCB544">
          <w:pPr>
            <w:pStyle w:val="12"/>
            <w:tabs>
              <w:tab w:val="right" w:leader="dot" w:pos="9026"/>
            </w:tabs>
          </w:pPr>
          <w:r>
            <w:fldChar w:fldCharType="begin"/>
          </w:r>
          <w:r>
            <w:instrText xml:space="preserve"> HYPERLINK \l _Toc8614 </w:instrText>
          </w:r>
          <w:r>
            <w:fldChar w:fldCharType="separate"/>
          </w:r>
          <w:r>
            <w:rPr>
              <w:rFonts w:ascii="黑体" w:hAnsi="黑体" w:eastAsia="黑体" w:cs="黑体"/>
              <w:bCs/>
              <w:szCs w:val="28"/>
            </w:rPr>
            <w:t>思考与练习</w:t>
          </w:r>
          <w:r>
            <w:tab/>
          </w:r>
          <w:r>
            <w:fldChar w:fldCharType="begin"/>
          </w:r>
          <w:r>
            <w:instrText xml:space="preserve"> PAGEREF _Toc8614 \h </w:instrText>
          </w:r>
          <w:r>
            <w:fldChar w:fldCharType="separate"/>
          </w:r>
          <w:r>
            <w:t>49</w:t>
          </w:r>
          <w:r>
            <w:fldChar w:fldCharType="end"/>
          </w:r>
          <w:r>
            <w:fldChar w:fldCharType="end"/>
          </w:r>
        </w:p>
        <w:p w14:paraId="433FB41A">
          <w:pPr>
            <w:pStyle w:val="12"/>
            <w:tabs>
              <w:tab w:val="right" w:leader="dot" w:pos="9026"/>
            </w:tabs>
          </w:pPr>
          <w:r>
            <w:fldChar w:fldCharType="begin"/>
          </w:r>
          <w:r>
            <w:instrText xml:space="preserve"> HYPERLINK \l _Toc12095 </w:instrText>
          </w:r>
          <w:r>
            <w:fldChar w:fldCharType="separate"/>
          </w:r>
          <w:r>
            <w:rPr>
              <w:rFonts w:ascii="黑体" w:hAnsi="黑体" w:eastAsia="黑体" w:cs="黑体"/>
              <w:bCs/>
              <w:szCs w:val="28"/>
            </w:rPr>
            <w:t>知识卡片：屯堡建筑数字化技术参数建议</w:t>
          </w:r>
          <w:r>
            <w:tab/>
          </w:r>
          <w:r>
            <w:fldChar w:fldCharType="begin"/>
          </w:r>
          <w:r>
            <w:instrText xml:space="preserve"> PAGEREF _Toc12095 \h </w:instrText>
          </w:r>
          <w:r>
            <w:fldChar w:fldCharType="separate"/>
          </w:r>
          <w:r>
            <w:t>49</w:t>
          </w:r>
          <w:r>
            <w:fldChar w:fldCharType="end"/>
          </w:r>
          <w:r>
            <w:fldChar w:fldCharType="end"/>
          </w:r>
        </w:p>
        <w:p w14:paraId="747F6B7D">
          <w:pPr>
            <w:pStyle w:val="10"/>
            <w:tabs>
              <w:tab w:val="right" w:leader="dot" w:pos="9026"/>
            </w:tabs>
          </w:pPr>
          <w:r>
            <w:fldChar w:fldCharType="begin"/>
          </w:r>
          <w:r>
            <w:instrText xml:space="preserve"> HYPERLINK \l _Toc9266 </w:instrText>
          </w:r>
          <w:r>
            <w:fldChar w:fldCharType="separate"/>
          </w:r>
          <w:r>
            <w:rPr>
              <w:rFonts w:ascii="黑体" w:hAnsi="黑体" w:eastAsia="黑体" w:cs="黑体"/>
              <w:bCs/>
              <w:szCs w:val="32"/>
            </w:rPr>
            <w:t>第 6 章  屯堡非物质文化遗产数字化</w:t>
          </w:r>
          <w:r>
            <w:tab/>
          </w:r>
          <w:r>
            <w:fldChar w:fldCharType="begin"/>
          </w:r>
          <w:r>
            <w:instrText xml:space="preserve"> PAGEREF _Toc9266 \h </w:instrText>
          </w:r>
          <w:r>
            <w:fldChar w:fldCharType="separate"/>
          </w:r>
          <w:r>
            <w:t>50</w:t>
          </w:r>
          <w:r>
            <w:fldChar w:fldCharType="end"/>
          </w:r>
          <w:r>
            <w:fldChar w:fldCharType="end"/>
          </w:r>
        </w:p>
        <w:p w14:paraId="06CA142D">
          <w:pPr>
            <w:pStyle w:val="12"/>
            <w:tabs>
              <w:tab w:val="right" w:leader="dot" w:pos="9026"/>
            </w:tabs>
          </w:pPr>
          <w:r>
            <w:fldChar w:fldCharType="begin"/>
          </w:r>
          <w:r>
            <w:instrText xml:space="preserve"> HYPERLINK \l _Toc6226 </w:instrText>
          </w:r>
          <w:r>
            <w:fldChar w:fldCharType="separate"/>
          </w:r>
          <w:r>
            <w:rPr>
              <w:rFonts w:ascii="黑体" w:hAnsi="黑体" w:eastAsia="黑体" w:cs="黑体"/>
              <w:bCs/>
              <w:szCs w:val="28"/>
            </w:rPr>
            <w:t>学习目标</w:t>
          </w:r>
          <w:r>
            <w:tab/>
          </w:r>
          <w:r>
            <w:fldChar w:fldCharType="begin"/>
          </w:r>
          <w:r>
            <w:instrText xml:space="preserve"> PAGEREF _Toc6226 \h </w:instrText>
          </w:r>
          <w:r>
            <w:fldChar w:fldCharType="separate"/>
          </w:r>
          <w:r>
            <w:t>50</w:t>
          </w:r>
          <w:r>
            <w:fldChar w:fldCharType="end"/>
          </w:r>
          <w:r>
            <w:fldChar w:fldCharType="end"/>
          </w:r>
        </w:p>
        <w:p w14:paraId="72AC8DE1">
          <w:pPr>
            <w:pStyle w:val="12"/>
            <w:tabs>
              <w:tab w:val="right" w:leader="dot" w:pos="9026"/>
            </w:tabs>
          </w:pPr>
          <w:r>
            <w:fldChar w:fldCharType="begin"/>
          </w:r>
          <w:r>
            <w:instrText xml:space="preserve"> HYPERLINK \l _Toc32378 </w:instrText>
          </w:r>
          <w:r>
            <w:fldChar w:fldCharType="separate"/>
          </w:r>
          <w:r>
            <w:rPr>
              <w:rFonts w:ascii="黑体" w:hAnsi="黑体" w:eastAsia="黑体" w:cs="黑体"/>
              <w:bCs/>
              <w:szCs w:val="28"/>
            </w:rPr>
            <w:t>导入案例：用AI复活老面具</w:t>
          </w:r>
          <w:r>
            <w:tab/>
          </w:r>
          <w:r>
            <w:fldChar w:fldCharType="begin"/>
          </w:r>
          <w:r>
            <w:instrText xml:space="preserve"> PAGEREF _Toc32378 \h </w:instrText>
          </w:r>
          <w:r>
            <w:fldChar w:fldCharType="separate"/>
          </w:r>
          <w:r>
            <w:t>50</w:t>
          </w:r>
          <w:r>
            <w:fldChar w:fldCharType="end"/>
          </w:r>
          <w:r>
            <w:fldChar w:fldCharType="end"/>
          </w:r>
        </w:p>
        <w:p w14:paraId="4053A022">
          <w:pPr>
            <w:pStyle w:val="12"/>
            <w:tabs>
              <w:tab w:val="right" w:leader="dot" w:pos="9026"/>
            </w:tabs>
          </w:pPr>
          <w:r>
            <w:fldChar w:fldCharType="begin"/>
          </w:r>
          <w:r>
            <w:instrText xml:space="preserve"> HYPERLINK \l _Toc4634 </w:instrText>
          </w:r>
          <w:r>
            <w:fldChar w:fldCharType="separate"/>
          </w:r>
          <w:r>
            <w:rPr>
              <w:rFonts w:ascii="黑体" w:hAnsi="黑体" w:eastAsia="黑体" w:cs="黑体"/>
              <w:bCs/>
              <w:szCs w:val="28"/>
            </w:rPr>
            <w:t>6.1 非物质文化遗产数字化的特殊挑战</w:t>
          </w:r>
          <w:r>
            <w:tab/>
          </w:r>
          <w:r>
            <w:fldChar w:fldCharType="begin"/>
          </w:r>
          <w:r>
            <w:instrText xml:space="preserve"> PAGEREF _Toc4634 \h </w:instrText>
          </w:r>
          <w:r>
            <w:fldChar w:fldCharType="separate"/>
          </w:r>
          <w:r>
            <w:t>50</w:t>
          </w:r>
          <w:r>
            <w:fldChar w:fldCharType="end"/>
          </w:r>
          <w:r>
            <w:fldChar w:fldCharType="end"/>
          </w:r>
        </w:p>
        <w:p w14:paraId="10863122">
          <w:pPr>
            <w:pStyle w:val="8"/>
            <w:tabs>
              <w:tab w:val="right" w:leader="dot" w:pos="9026"/>
            </w:tabs>
          </w:pPr>
          <w:r>
            <w:fldChar w:fldCharType="begin"/>
          </w:r>
          <w:r>
            <w:instrText xml:space="preserve"> HYPERLINK \l _Toc7135 </w:instrText>
          </w:r>
          <w:r>
            <w:fldChar w:fldCharType="separate"/>
          </w:r>
          <w:r>
            <w:rPr>
              <w:rFonts w:ascii="黑体" w:hAnsi="黑体" w:eastAsia="黑体" w:cs="黑体"/>
              <w:bCs/>
              <w:szCs w:val="26"/>
            </w:rPr>
            <w:t>6.1.1 "非物质性"带来的技术难题</w:t>
          </w:r>
          <w:r>
            <w:tab/>
          </w:r>
          <w:r>
            <w:fldChar w:fldCharType="begin"/>
          </w:r>
          <w:r>
            <w:instrText xml:space="preserve"> PAGEREF _Toc7135 \h </w:instrText>
          </w:r>
          <w:r>
            <w:fldChar w:fldCharType="separate"/>
          </w:r>
          <w:r>
            <w:t>50</w:t>
          </w:r>
          <w:r>
            <w:fldChar w:fldCharType="end"/>
          </w:r>
          <w:r>
            <w:fldChar w:fldCharType="end"/>
          </w:r>
        </w:p>
        <w:p w14:paraId="2DE9A729">
          <w:pPr>
            <w:pStyle w:val="8"/>
            <w:tabs>
              <w:tab w:val="right" w:leader="dot" w:pos="9026"/>
            </w:tabs>
          </w:pPr>
          <w:r>
            <w:fldChar w:fldCharType="begin"/>
          </w:r>
          <w:r>
            <w:instrText xml:space="preserve"> HYPERLINK \l _Toc11216 </w:instrText>
          </w:r>
          <w:r>
            <w:fldChar w:fldCharType="separate"/>
          </w:r>
          <w:r>
            <w:rPr>
              <w:rFonts w:ascii="黑体" w:hAnsi="黑体" w:eastAsia="黑体" w:cs="黑体"/>
              <w:bCs/>
              <w:szCs w:val="26"/>
            </w:rPr>
            <w:t>6.1.2 "活态性"带来的记录难题</w:t>
          </w:r>
          <w:r>
            <w:tab/>
          </w:r>
          <w:r>
            <w:fldChar w:fldCharType="begin"/>
          </w:r>
          <w:r>
            <w:instrText xml:space="preserve"> PAGEREF _Toc11216 \h </w:instrText>
          </w:r>
          <w:r>
            <w:fldChar w:fldCharType="separate"/>
          </w:r>
          <w:r>
            <w:t>51</w:t>
          </w:r>
          <w:r>
            <w:fldChar w:fldCharType="end"/>
          </w:r>
          <w:r>
            <w:fldChar w:fldCharType="end"/>
          </w:r>
        </w:p>
        <w:p w14:paraId="202DF252">
          <w:pPr>
            <w:pStyle w:val="8"/>
            <w:tabs>
              <w:tab w:val="right" w:leader="dot" w:pos="9026"/>
            </w:tabs>
          </w:pPr>
          <w:r>
            <w:fldChar w:fldCharType="begin"/>
          </w:r>
          <w:r>
            <w:instrText xml:space="preserve"> HYPERLINK \l _Toc17067 </w:instrText>
          </w:r>
          <w:r>
            <w:fldChar w:fldCharType="separate"/>
          </w:r>
          <w:r>
            <w:rPr>
              <w:rFonts w:ascii="黑体" w:hAnsi="黑体" w:eastAsia="黑体" w:cs="黑体"/>
              <w:bCs/>
              <w:szCs w:val="26"/>
            </w:rPr>
            <w:t>6.1.3 "主体性"带来的伦理问题</w:t>
          </w:r>
          <w:r>
            <w:tab/>
          </w:r>
          <w:r>
            <w:fldChar w:fldCharType="begin"/>
          </w:r>
          <w:r>
            <w:instrText xml:space="preserve"> PAGEREF _Toc17067 \h </w:instrText>
          </w:r>
          <w:r>
            <w:fldChar w:fldCharType="separate"/>
          </w:r>
          <w:r>
            <w:t>51</w:t>
          </w:r>
          <w:r>
            <w:fldChar w:fldCharType="end"/>
          </w:r>
          <w:r>
            <w:fldChar w:fldCharType="end"/>
          </w:r>
        </w:p>
        <w:p w14:paraId="290A488A">
          <w:pPr>
            <w:pStyle w:val="12"/>
            <w:tabs>
              <w:tab w:val="right" w:leader="dot" w:pos="9026"/>
            </w:tabs>
          </w:pPr>
          <w:r>
            <w:fldChar w:fldCharType="begin"/>
          </w:r>
          <w:r>
            <w:instrText xml:space="preserve"> HYPERLINK \l _Toc32452 </w:instrText>
          </w:r>
          <w:r>
            <w:fldChar w:fldCharType="separate"/>
          </w:r>
          <w:r>
            <w:rPr>
              <w:rFonts w:ascii="黑体" w:hAnsi="黑体" w:eastAsia="黑体" w:cs="黑体"/>
              <w:bCs/>
              <w:szCs w:val="28"/>
            </w:rPr>
            <w:t>6.2 地戏表演的数字化记录</w:t>
          </w:r>
          <w:r>
            <w:tab/>
          </w:r>
          <w:r>
            <w:fldChar w:fldCharType="begin"/>
          </w:r>
          <w:r>
            <w:instrText xml:space="preserve"> PAGEREF _Toc32452 \h </w:instrText>
          </w:r>
          <w:r>
            <w:fldChar w:fldCharType="separate"/>
          </w:r>
          <w:r>
            <w:t>51</w:t>
          </w:r>
          <w:r>
            <w:fldChar w:fldCharType="end"/>
          </w:r>
          <w:r>
            <w:fldChar w:fldCharType="end"/>
          </w:r>
        </w:p>
        <w:p w14:paraId="568086D7">
          <w:pPr>
            <w:pStyle w:val="8"/>
            <w:tabs>
              <w:tab w:val="right" w:leader="dot" w:pos="9026"/>
            </w:tabs>
          </w:pPr>
          <w:r>
            <w:fldChar w:fldCharType="begin"/>
          </w:r>
          <w:r>
            <w:instrText xml:space="preserve"> HYPERLINK \l _Toc2673 </w:instrText>
          </w:r>
          <w:r>
            <w:fldChar w:fldCharType="separate"/>
          </w:r>
          <w:r>
            <w:rPr>
              <w:rFonts w:ascii="黑体" w:hAnsi="黑体" w:eastAsia="黑体" w:cs="黑体"/>
              <w:bCs/>
              <w:szCs w:val="26"/>
            </w:rPr>
            <w:t>6.2.1 多机位高清视频记录</w:t>
          </w:r>
          <w:r>
            <w:tab/>
          </w:r>
          <w:r>
            <w:fldChar w:fldCharType="begin"/>
          </w:r>
          <w:r>
            <w:instrText xml:space="preserve"> PAGEREF _Toc2673 \h </w:instrText>
          </w:r>
          <w:r>
            <w:fldChar w:fldCharType="separate"/>
          </w:r>
          <w:r>
            <w:t>51</w:t>
          </w:r>
          <w:r>
            <w:fldChar w:fldCharType="end"/>
          </w:r>
          <w:r>
            <w:fldChar w:fldCharType="end"/>
          </w:r>
        </w:p>
        <w:p w14:paraId="61D4ADE7">
          <w:pPr>
            <w:pStyle w:val="8"/>
            <w:tabs>
              <w:tab w:val="right" w:leader="dot" w:pos="9026"/>
            </w:tabs>
          </w:pPr>
          <w:r>
            <w:fldChar w:fldCharType="begin"/>
          </w:r>
          <w:r>
            <w:instrText xml:space="preserve"> HYPERLINK \l _Toc8623 </w:instrText>
          </w:r>
          <w:r>
            <w:fldChar w:fldCharType="separate"/>
          </w:r>
          <w:r>
            <w:rPr>
              <w:rFonts w:ascii="黑体" w:hAnsi="黑体" w:eastAsia="黑体" w:cs="黑体"/>
              <w:bCs/>
              <w:szCs w:val="26"/>
            </w:rPr>
            <w:t>6.2.2 动作捕捉技术</w:t>
          </w:r>
          <w:r>
            <w:tab/>
          </w:r>
          <w:r>
            <w:fldChar w:fldCharType="begin"/>
          </w:r>
          <w:r>
            <w:instrText xml:space="preserve"> PAGEREF _Toc8623 \h </w:instrText>
          </w:r>
          <w:r>
            <w:fldChar w:fldCharType="separate"/>
          </w:r>
          <w:r>
            <w:t>52</w:t>
          </w:r>
          <w:r>
            <w:fldChar w:fldCharType="end"/>
          </w:r>
          <w:r>
            <w:fldChar w:fldCharType="end"/>
          </w:r>
        </w:p>
        <w:p w14:paraId="68C71F60">
          <w:pPr>
            <w:pStyle w:val="8"/>
            <w:tabs>
              <w:tab w:val="right" w:leader="dot" w:pos="9026"/>
            </w:tabs>
          </w:pPr>
          <w:r>
            <w:fldChar w:fldCharType="begin"/>
          </w:r>
          <w:r>
            <w:instrText xml:space="preserve"> HYPERLINK \l _Toc32404 </w:instrText>
          </w:r>
          <w:r>
            <w:fldChar w:fldCharType="separate"/>
          </w:r>
          <w:r>
            <w:rPr>
              <w:rFonts w:ascii="黑体" w:hAnsi="黑体" w:eastAsia="黑体" w:cs="黑体"/>
              <w:bCs/>
              <w:szCs w:val="26"/>
            </w:rPr>
            <w:t>6.2.3 音频采集与分析</w:t>
          </w:r>
          <w:r>
            <w:tab/>
          </w:r>
          <w:r>
            <w:fldChar w:fldCharType="begin"/>
          </w:r>
          <w:r>
            <w:instrText xml:space="preserve"> PAGEREF _Toc32404 \h </w:instrText>
          </w:r>
          <w:r>
            <w:fldChar w:fldCharType="separate"/>
          </w:r>
          <w:r>
            <w:t>52</w:t>
          </w:r>
          <w:r>
            <w:fldChar w:fldCharType="end"/>
          </w:r>
          <w:r>
            <w:fldChar w:fldCharType="end"/>
          </w:r>
        </w:p>
        <w:p w14:paraId="16C8A4E5">
          <w:pPr>
            <w:pStyle w:val="8"/>
            <w:tabs>
              <w:tab w:val="right" w:leader="dot" w:pos="9026"/>
            </w:tabs>
          </w:pPr>
          <w:r>
            <w:fldChar w:fldCharType="begin"/>
          </w:r>
          <w:r>
            <w:instrText xml:space="preserve"> HYPERLINK \l _Toc19382 </w:instrText>
          </w:r>
          <w:r>
            <w:fldChar w:fldCharType="separate"/>
          </w:r>
          <w:r>
            <w:rPr>
              <w:rFonts w:ascii="黑体" w:hAnsi="黑体" w:eastAsia="黑体" w:cs="黑体"/>
              <w:bCs/>
              <w:szCs w:val="26"/>
            </w:rPr>
            <w:t>6.2.4 面具与道具的三维数字化</w:t>
          </w:r>
          <w:r>
            <w:tab/>
          </w:r>
          <w:r>
            <w:fldChar w:fldCharType="begin"/>
          </w:r>
          <w:r>
            <w:instrText xml:space="preserve"> PAGEREF _Toc19382 \h </w:instrText>
          </w:r>
          <w:r>
            <w:fldChar w:fldCharType="separate"/>
          </w:r>
          <w:r>
            <w:t>52</w:t>
          </w:r>
          <w:r>
            <w:fldChar w:fldCharType="end"/>
          </w:r>
          <w:r>
            <w:fldChar w:fldCharType="end"/>
          </w:r>
        </w:p>
        <w:p w14:paraId="664C2C22">
          <w:pPr>
            <w:pStyle w:val="12"/>
            <w:tabs>
              <w:tab w:val="right" w:leader="dot" w:pos="9026"/>
            </w:tabs>
          </w:pPr>
          <w:r>
            <w:fldChar w:fldCharType="begin"/>
          </w:r>
          <w:r>
            <w:instrText xml:space="preserve"> HYPERLINK \l _Toc5577 </w:instrText>
          </w:r>
          <w:r>
            <w:fldChar w:fldCharType="separate"/>
          </w:r>
          <w:r>
            <w:rPr>
              <w:rFonts w:ascii="黑体" w:hAnsi="黑体" w:eastAsia="黑体" w:cs="黑体"/>
              <w:bCs/>
              <w:szCs w:val="28"/>
            </w:rPr>
            <w:t>6.3 传统手工艺的数字化采集</w:t>
          </w:r>
          <w:r>
            <w:tab/>
          </w:r>
          <w:r>
            <w:fldChar w:fldCharType="begin"/>
          </w:r>
          <w:r>
            <w:instrText xml:space="preserve"> PAGEREF _Toc5577 \h </w:instrText>
          </w:r>
          <w:r>
            <w:fldChar w:fldCharType="separate"/>
          </w:r>
          <w:r>
            <w:t>52</w:t>
          </w:r>
          <w:r>
            <w:fldChar w:fldCharType="end"/>
          </w:r>
          <w:r>
            <w:fldChar w:fldCharType="end"/>
          </w:r>
        </w:p>
        <w:p w14:paraId="256D7FD8">
          <w:pPr>
            <w:pStyle w:val="8"/>
            <w:tabs>
              <w:tab w:val="right" w:leader="dot" w:pos="9026"/>
            </w:tabs>
          </w:pPr>
          <w:r>
            <w:fldChar w:fldCharType="begin"/>
          </w:r>
          <w:r>
            <w:instrText xml:space="preserve"> HYPERLINK \l _Toc19544 </w:instrText>
          </w:r>
          <w:r>
            <w:fldChar w:fldCharType="separate"/>
          </w:r>
          <w:r>
            <w:rPr>
              <w:rFonts w:ascii="黑体" w:hAnsi="黑体" w:eastAsia="黑体" w:cs="黑体"/>
              <w:bCs/>
              <w:szCs w:val="26"/>
            </w:rPr>
            <w:t>6.3.1 服饰制作工艺的记录</w:t>
          </w:r>
          <w:r>
            <w:tab/>
          </w:r>
          <w:r>
            <w:fldChar w:fldCharType="begin"/>
          </w:r>
          <w:r>
            <w:instrText xml:space="preserve"> PAGEREF _Toc19544 \h </w:instrText>
          </w:r>
          <w:r>
            <w:fldChar w:fldCharType="separate"/>
          </w:r>
          <w:r>
            <w:t>52</w:t>
          </w:r>
          <w:r>
            <w:fldChar w:fldCharType="end"/>
          </w:r>
          <w:r>
            <w:fldChar w:fldCharType="end"/>
          </w:r>
        </w:p>
        <w:p w14:paraId="1C7B18F2">
          <w:pPr>
            <w:pStyle w:val="8"/>
            <w:tabs>
              <w:tab w:val="right" w:leader="dot" w:pos="9026"/>
            </w:tabs>
          </w:pPr>
          <w:r>
            <w:fldChar w:fldCharType="begin"/>
          </w:r>
          <w:r>
            <w:instrText xml:space="preserve"> HYPERLINK \l _Toc11975 </w:instrText>
          </w:r>
          <w:r>
            <w:fldChar w:fldCharType="separate"/>
          </w:r>
          <w:r>
            <w:rPr>
              <w:rFonts w:ascii="黑体" w:hAnsi="黑体" w:eastAsia="黑体" w:cs="黑体"/>
              <w:bCs/>
              <w:szCs w:val="26"/>
            </w:rPr>
            <w:t>6.3.2 面具雕刻工艺的记录</w:t>
          </w:r>
          <w:r>
            <w:tab/>
          </w:r>
          <w:r>
            <w:fldChar w:fldCharType="begin"/>
          </w:r>
          <w:r>
            <w:instrText xml:space="preserve"> PAGEREF _Toc11975 \h </w:instrText>
          </w:r>
          <w:r>
            <w:fldChar w:fldCharType="separate"/>
          </w:r>
          <w:r>
            <w:t>53</w:t>
          </w:r>
          <w:r>
            <w:fldChar w:fldCharType="end"/>
          </w:r>
          <w:r>
            <w:fldChar w:fldCharType="end"/>
          </w:r>
        </w:p>
        <w:p w14:paraId="3AE025E1">
          <w:pPr>
            <w:pStyle w:val="8"/>
            <w:tabs>
              <w:tab w:val="right" w:leader="dot" w:pos="9026"/>
            </w:tabs>
          </w:pPr>
          <w:r>
            <w:fldChar w:fldCharType="begin"/>
          </w:r>
          <w:r>
            <w:instrText xml:space="preserve"> HYPERLINK \l _Toc26578 </w:instrText>
          </w:r>
          <w:r>
            <w:fldChar w:fldCharType="separate"/>
          </w:r>
          <w:r>
            <w:rPr>
              <w:rFonts w:ascii="黑体" w:hAnsi="黑体" w:eastAsia="黑体" w:cs="黑体"/>
              <w:bCs/>
              <w:szCs w:val="26"/>
            </w:rPr>
            <w:t>6.3.3 饮食文化的数字化</w:t>
          </w:r>
          <w:r>
            <w:tab/>
          </w:r>
          <w:r>
            <w:fldChar w:fldCharType="begin"/>
          </w:r>
          <w:r>
            <w:instrText xml:space="preserve"> PAGEREF _Toc26578 \h </w:instrText>
          </w:r>
          <w:r>
            <w:fldChar w:fldCharType="separate"/>
          </w:r>
          <w:r>
            <w:t>53</w:t>
          </w:r>
          <w:r>
            <w:fldChar w:fldCharType="end"/>
          </w:r>
          <w:r>
            <w:fldChar w:fldCharType="end"/>
          </w:r>
        </w:p>
        <w:p w14:paraId="6DC5D709">
          <w:pPr>
            <w:pStyle w:val="12"/>
            <w:tabs>
              <w:tab w:val="right" w:leader="dot" w:pos="9026"/>
            </w:tabs>
          </w:pPr>
          <w:r>
            <w:fldChar w:fldCharType="begin"/>
          </w:r>
          <w:r>
            <w:instrText xml:space="preserve"> HYPERLINK \l _Toc918 </w:instrText>
          </w:r>
          <w:r>
            <w:fldChar w:fldCharType="separate"/>
          </w:r>
          <w:r>
            <w:rPr>
              <w:rFonts w:ascii="黑体" w:hAnsi="黑体" w:eastAsia="黑体" w:cs="黑体"/>
              <w:bCs/>
              <w:szCs w:val="28"/>
            </w:rPr>
            <w:t>6.4 口述史与民俗活动的数字化</w:t>
          </w:r>
          <w:r>
            <w:tab/>
          </w:r>
          <w:r>
            <w:fldChar w:fldCharType="begin"/>
          </w:r>
          <w:r>
            <w:instrText xml:space="preserve"> PAGEREF _Toc918 \h </w:instrText>
          </w:r>
          <w:r>
            <w:fldChar w:fldCharType="separate"/>
          </w:r>
          <w:r>
            <w:t>54</w:t>
          </w:r>
          <w:r>
            <w:fldChar w:fldCharType="end"/>
          </w:r>
          <w:r>
            <w:fldChar w:fldCharType="end"/>
          </w:r>
        </w:p>
        <w:p w14:paraId="4C734906">
          <w:pPr>
            <w:pStyle w:val="8"/>
            <w:tabs>
              <w:tab w:val="right" w:leader="dot" w:pos="9026"/>
            </w:tabs>
          </w:pPr>
          <w:r>
            <w:fldChar w:fldCharType="begin"/>
          </w:r>
          <w:r>
            <w:instrText xml:space="preserve"> HYPERLINK \l _Toc25551 </w:instrText>
          </w:r>
          <w:r>
            <w:fldChar w:fldCharType="separate"/>
          </w:r>
          <w:r>
            <w:rPr>
              <w:rFonts w:ascii="黑体" w:hAnsi="黑体" w:eastAsia="黑体" w:cs="黑体"/>
              <w:bCs/>
              <w:szCs w:val="26"/>
            </w:rPr>
            <w:t>6.4.1 口述史采集方法</w:t>
          </w:r>
          <w:r>
            <w:tab/>
          </w:r>
          <w:r>
            <w:fldChar w:fldCharType="begin"/>
          </w:r>
          <w:r>
            <w:instrText xml:space="preserve"> PAGEREF _Toc25551 \h </w:instrText>
          </w:r>
          <w:r>
            <w:fldChar w:fldCharType="separate"/>
          </w:r>
          <w:r>
            <w:t>54</w:t>
          </w:r>
          <w:r>
            <w:fldChar w:fldCharType="end"/>
          </w:r>
          <w:r>
            <w:fldChar w:fldCharType="end"/>
          </w:r>
        </w:p>
        <w:p w14:paraId="6BCABC57">
          <w:pPr>
            <w:pStyle w:val="8"/>
            <w:tabs>
              <w:tab w:val="right" w:leader="dot" w:pos="9026"/>
            </w:tabs>
          </w:pPr>
          <w:r>
            <w:fldChar w:fldCharType="begin"/>
          </w:r>
          <w:r>
            <w:instrText xml:space="preserve"> HYPERLINK \l _Toc20491 </w:instrText>
          </w:r>
          <w:r>
            <w:fldChar w:fldCharType="separate"/>
          </w:r>
          <w:r>
            <w:rPr>
              <w:rFonts w:ascii="黑体" w:hAnsi="黑体" w:eastAsia="黑体" w:cs="黑体"/>
              <w:bCs/>
              <w:szCs w:val="26"/>
            </w:rPr>
            <w:t>6.4.2 民俗活动的全方位记录</w:t>
          </w:r>
          <w:r>
            <w:tab/>
          </w:r>
          <w:r>
            <w:fldChar w:fldCharType="begin"/>
          </w:r>
          <w:r>
            <w:instrText xml:space="preserve"> PAGEREF _Toc20491 \h </w:instrText>
          </w:r>
          <w:r>
            <w:fldChar w:fldCharType="separate"/>
          </w:r>
          <w:r>
            <w:t>54</w:t>
          </w:r>
          <w:r>
            <w:fldChar w:fldCharType="end"/>
          </w:r>
          <w:r>
            <w:fldChar w:fldCharType="end"/>
          </w:r>
        </w:p>
        <w:p w14:paraId="6532A3B3">
          <w:pPr>
            <w:pStyle w:val="12"/>
            <w:tabs>
              <w:tab w:val="right" w:leader="dot" w:pos="9026"/>
            </w:tabs>
          </w:pPr>
          <w:r>
            <w:fldChar w:fldCharType="begin"/>
          </w:r>
          <w:r>
            <w:instrText xml:space="preserve"> HYPERLINK \l _Toc11858 </w:instrText>
          </w:r>
          <w:r>
            <w:fldChar w:fldCharType="separate"/>
          </w:r>
          <w:r>
            <w:rPr>
              <w:rFonts w:ascii="黑体" w:hAnsi="黑体" w:eastAsia="黑体" w:cs="黑体"/>
              <w:bCs/>
              <w:szCs w:val="28"/>
            </w:rPr>
            <w:t>6.5 屯堡非遗数据库与知识图谱</w:t>
          </w:r>
          <w:r>
            <w:tab/>
          </w:r>
          <w:r>
            <w:fldChar w:fldCharType="begin"/>
          </w:r>
          <w:r>
            <w:instrText xml:space="preserve"> PAGEREF _Toc11858 \h </w:instrText>
          </w:r>
          <w:r>
            <w:fldChar w:fldCharType="separate"/>
          </w:r>
          <w:r>
            <w:t>55</w:t>
          </w:r>
          <w:r>
            <w:fldChar w:fldCharType="end"/>
          </w:r>
          <w:r>
            <w:fldChar w:fldCharType="end"/>
          </w:r>
        </w:p>
        <w:p w14:paraId="276201C3">
          <w:pPr>
            <w:pStyle w:val="8"/>
            <w:tabs>
              <w:tab w:val="right" w:leader="dot" w:pos="9026"/>
            </w:tabs>
          </w:pPr>
          <w:r>
            <w:fldChar w:fldCharType="begin"/>
          </w:r>
          <w:r>
            <w:instrText xml:space="preserve"> HYPERLINK \l _Toc3448 </w:instrText>
          </w:r>
          <w:r>
            <w:fldChar w:fldCharType="separate"/>
          </w:r>
          <w:r>
            <w:rPr>
              <w:rFonts w:ascii="黑体" w:hAnsi="黑体" w:eastAsia="黑体" w:cs="黑体"/>
              <w:bCs/>
              <w:szCs w:val="26"/>
            </w:rPr>
            <w:t>6.5.1 非遗数据库架构</w:t>
          </w:r>
          <w:r>
            <w:tab/>
          </w:r>
          <w:r>
            <w:fldChar w:fldCharType="begin"/>
          </w:r>
          <w:r>
            <w:instrText xml:space="preserve"> PAGEREF _Toc3448 \h </w:instrText>
          </w:r>
          <w:r>
            <w:fldChar w:fldCharType="separate"/>
          </w:r>
          <w:r>
            <w:t>55</w:t>
          </w:r>
          <w:r>
            <w:fldChar w:fldCharType="end"/>
          </w:r>
          <w:r>
            <w:fldChar w:fldCharType="end"/>
          </w:r>
        </w:p>
        <w:p w14:paraId="4863D05F">
          <w:pPr>
            <w:pStyle w:val="8"/>
            <w:tabs>
              <w:tab w:val="right" w:leader="dot" w:pos="9026"/>
            </w:tabs>
          </w:pPr>
          <w:r>
            <w:fldChar w:fldCharType="begin"/>
          </w:r>
          <w:r>
            <w:instrText xml:space="preserve"> HYPERLINK \l _Toc6466 </w:instrText>
          </w:r>
          <w:r>
            <w:fldChar w:fldCharType="separate"/>
          </w:r>
          <w:r>
            <w:rPr>
              <w:rFonts w:ascii="黑体" w:hAnsi="黑体" w:eastAsia="黑体" w:cs="黑体"/>
              <w:bCs/>
              <w:szCs w:val="26"/>
            </w:rPr>
            <w:t>6.5.2 知识图谱构建</w:t>
          </w:r>
          <w:r>
            <w:tab/>
          </w:r>
          <w:r>
            <w:fldChar w:fldCharType="begin"/>
          </w:r>
          <w:r>
            <w:instrText xml:space="preserve"> PAGEREF _Toc6466 \h </w:instrText>
          </w:r>
          <w:r>
            <w:fldChar w:fldCharType="separate"/>
          </w:r>
          <w:r>
            <w:t>55</w:t>
          </w:r>
          <w:r>
            <w:fldChar w:fldCharType="end"/>
          </w:r>
          <w:r>
            <w:fldChar w:fldCharType="end"/>
          </w:r>
        </w:p>
        <w:p w14:paraId="2E07359C">
          <w:pPr>
            <w:pStyle w:val="12"/>
            <w:tabs>
              <w:tab w:val="right" w:leader="dot" w:pos="9026"/>
            </w:tabs>
          </w:pPr>
          <w:r>
            <w:fldChar w:fldCharType="begin"/>
          </w:r>
          <w:r>
            <w:instrText xml:space="preserve"> HYPERLINK \l _Toc29857 </w:instrText>
          </w:r>
          <w:r>
            <w:fldChar w:fldCharType="separate"/>
          </w:r>
          <w:r>
            <w:rPr>
              <w:rFonts w:ascii="黑体" w:hAnsi="黑体" w:eastAsia="黑体" w:cs="黑体"/>
              <w:bCs/>
              <w:szCs w:val="28"/>
            </w:rPr>
            <w:t>6.6 AI在屯堡非遗数字化中的应用</w:t>
          </w:r>
          <w:r>
            <w:tab/>
          </w:r>
          <w:r>
            <w:fldChar w:fldCharType="begin"/>
          </w:r>
          <w:r>
            <w:instrText xml:space="preserve"> PAGEREF _Toc29857 \h </w:instrText>
          </w:r>
          <w:r>
            <w:fldChar w:fldCharType="separate"/>
          </w:r>
          <w:r>
            <w:t>55</w:t>
          </w:r>
          <w:r>
            <w:fldChar w:fldCharType="end"/>
          </w:r>
          <w:r>
            <w:fldChar w:fldCharType="end"/>
          </w:r>
        </w:p>
        <w:p w14:paraId="45374C3D">
          <w:pPr>
            <w:pStyle w:val="8"/>
            <w:tabs>
              <w:tab w:val="right" w:leader="dot" w:pos="9026"/>
            </w:tabs>
          </w:pPr>
          <w:r>
            <w:fldChar w:fldCharType="begin"/>
          </w:r>
          <w:r>
            <w:instrText xml:space="preserve"> HYPERLINK \l _Toc14079 </w:instrText>
          </w:r>
          <w:r>
            <w:fldChar w:fldCharType="separate"/>
          </w:r>
          <w:r>
            <w:rPr>
              <w:rFonts w:ascii="黑体" w:hAnsi="黑体" w:eastAsia="黑体" w:cs="黑体"/>
              <w:bCs/>
              <w:szCs w:val="26"/>
            </w:rPr>
            <w:t>6.6.1 AI辅助记录与分析</w:t>
          </w:r>
          <w:r>
            <w:tab/>
          </w:r>
          <w:r>
            <w:fldChar w:fldCharType="begin"/>
          </w:r>
          <w:r>
            <w:instrText xml:space="preserve"> PAGEREF _Toc14079 \h </w:instrText>
          </w:r>
          <w:r>
            <w:fldChar w:fldCharType="separate"/>
          </w:r>
          <w:r>
            <w:t>55</w:t>
          </w:r>
          <w:r>
            <w:fldChar w:fldCharType="end"/>
          </w:r>
          <w:r>
            <w:fldChar w:fldCharType="end"/>
          </w:r>
        </w:p>
        <w:p w14:paraId="56059406">
          <w:pPr>
            <w:pStyle w:val="8"/>
            <w:tabs>
              <w:tab w:val="right" w:leader="dot" w:pos="9026"/>
            </w:tabs>
          </w:pPr>
          <w:r>
            <w:fldChar w:fldCharType="begin"/>
          </w:r>
          <w:r>
            <w:instrText xml:space="preserve"> HYPERLINK \l _Toc16486 </w:instrText>
          </w:r>
          <w:r>
            <w:fldChar w:fldCharType="separate"/>
          </w:r>
          <w:r>
            <w:rPr>
              <w:rFonts w:ascii="黑体" w:hAnsi="黑体" w:eastAsia="黑体" w:cs="黑体"/>
              <w:bCs/>
              <w:szCs w:val="26"/>
            </w:rPr>
            <w:t>6.6.2 AI辅助创作与传播</w:t>
          </w:r>
          <w:r>
            <w:tab/>
          </w:r>
          <w:r>
            <w:fldChar w:fldCharType="begin"/>
          </w:r>
          <w:r>
            <w:instrText xml:space="preserve"> PAGEREF _Toc16486 \h </w:instrText>
          </w:r>
          <w:r>
            <w:fldChar w:fldCharType="separate"/>
          </w:r>
          <w:r>
            <w:t>56</w:t>
          </w:r>
          <w:r>
            <w:fldChar w:fldCharType="end"/>
          </w:r>
          <w:r>
            <w:fldChar w:fldCharType="end"/>
          </w:r>
        </w:p>
        <w:p w14:paraId="035516B4">
          <w:pPr>
            <w:pStyle w:val="12"/>
            <w:tabs>
              <w:tab w:val="right" w:leader="dot" w:pos="9026"/>
            </w:tabs>
          </w:pPr>
          <w:r>
            <w:fldChar w:fldCharType="begin"/>
          </w:r>
          <w:r>
            <w:instrText xml:space="preserve"> HYPERLINK \l _Toc2274 </w:instrText>
          </w:r>
          <w:r>
            <w:fldChar w:fldCharType="separate"/>
          </w:r>
          <w:r>
            <w:rPr>
              <w:rFonts w:ascii="黑体" w:hAnsi="黑体" w:eastAsia="黑体" w:cs="黑体"/>
              <w:bCs/>
              <w:szCs w:val="28"/>
            </w:rPr>
            <w:t>6.7 知识产权与伦理保护</w:t>
          </w:r>
          <w:r>
            <w:tab/>
          </w:r>
          <w:r>
            <w:fldChar w:fldCharType="begin"/>
          </w:r>
          <w:r>
            <w:instrText xml:space="preserve"> PAGEREF _Toc2274 \h </w:instrText>
          </w:r>
          <w:r>
            <w:fldChar w:fldCharType="separate"/>
          </w:r>
          <w:r>
            <w:t>56</w:t>
          </w:r>
          <w:r>
            <w:fldChar w:fldCharType="end"/>
          </w:r>
          <w:r>
            <w:fldChar w:fldCharType="end"/>
          </w:r>
        </w:p>
        <w:p w14:paraId="2F05DFF5">
          <w:pPr>
            <w:pStyle w:val="8"/>
            <w:tabs>
              <w:tab w:val="right" w:leader="dot" w:pos="9026"/>
            </w:tabs>
          </w:pPr>
          <w:r>
            <w:fldChar w:fldCharType="begin"/>
          </w:r>
          <w:r>
            <w:instrText xml:space="preserve"> HYPERLINK \l _Toc16076 </w:instrText>
          </w:r>
          <w:r>
            <w:fldChar w:fldCharType="separate"/>
          </w:r>
          <w:r>
            <w:rPr>
              <w:rFonts w:ascii="黑体" w:hAnsi="黑体" w:eastAsia="黑体" w:cs="黑体"/>
              <w:bCs/>
              <w:szCs w:val="26"/>
            </w:rPr>
            <w:t>6.7.1 数字化成果的知识产权</w:t>
          </w:r>
          <w:r>
            <w:tab/>
          </w:r>
          <w:r>
            <w:fldChar w:fldCharType="begin"/>
          </w:r>
          <w:r>
            <w:instrText xml:space="preserve"> PAGEREF _Toc16076 \h </w:instrText>
          </w:r>
          <w:r>
            <w:fldChar w:fldCharType="separate"/>
          </w:r>
          <w:r>
            <w:t>56</w:t>
          </w:r>
          <w:r>
            <w:fldChar w:fldCharType="end"/>
          </w:r>
          <w:r>
            <w:fldChar w:fldCharType="end"/>
          </w:r>
        </w:p>
        <w:p w14:paraId="2227A901">
          <w:pPr>
            <w:pStyle w:val="8"/>
            <w:tabs>
              <w:tab w:val="right" w:leader="dot" w:pos="9026"/>
            </w:tabs>
          </w:pPr>
          <w:r>
            <w:fldChar w:fldCharType="begin"/>
          </w:r>
          <w:r>
            <w:instrText xml:space="preserve"> HYPERLINK \l _Toc30371 </w:instrText>
          </w:r>
          <w:r>
            <w:fldChar w:fldCharType="separate"/>
          </w:r>
          <w:r>
            <w:rPr>
              <w:rFonts w:ascii="黑体" w:hAnsi="黑体" w:eastAsia="黑体" w:cs="黑体"/>
              <w:bCs/>
              <w:szCs w:val="26"/>
            </w:rPr>
            <w:t>6.7.2 事先知情同意</w:t>
          </w:r>
          <w:r>
            <w:tab/>
          </w:r>
          <w:r>
            <w:fldChar w:fldCharType="begin"/>
          </w:r>
          <w:r>
            <w:instrText xml:space="preserve"> PAGEREF _Toc30371 \h </w:instrText>
          </w:r>
          <w:r>
            <w:fldChar w:fldCharType="separate"/>
          </w:r>
          <w:r>
            <w:t>56</w:t>
          </w:r>
          <w:r>
            <w:fldChar w:fldCharType="end"/>
          </w:r>
          <w:r>
            <w:fldChar w:fldCharType="end"/>
          </w:r>
        </w:p>
        <w:p w14:paraId="0F97715D">
          <w:pPr>
            <w:pStyle w:val="8"/>
            <w:tabs>
              <w:tab w:val="right" w:leader="dot" w:pos="9026"/>
            </w:tabs>
          </w:pPr>
          <w:r>
            <w:fldChar w:fldCharType="begin"/>
          </w:r>
          <w:r>
            <w:instrText xml:space="preserve"> HYPERLINK \l _Toc27469 </w:instrText>
          </w:r>
          <w:r>
            <w:fldChar w:fldCharType="separate"/>
          </w:r>
          <w:r>
            <w:rPr>
              <w:rFonts w:ascii="黑体" w:hAnsi="黑体" w:eastAsia="黑体" w:cs="黑体"/>
              <w:bCs/>
              <w:szCs w:val="26"/>
            </w:rPr>
            <w:t>6.7.3 数据安全与隐私保护</w:t>
          </w:r>
          <w:r>
            <w:tab/>
          </w:r>
          <w:r>
            <w:fldChar w:fldCharType="begin"/>
          </w:r>
          <w:r>
            <w:instrText xml:space="preserve"> PAGEREF _Toc27469 \h </w:instrText>
          </w:r>
          <w:r>
            <w:fldChar w:fldCharType="separate"/>
          </w:r>
          <w:r>
            <w:t>57</w:t>
          </w:r>
          <w:r>
            <w:fldChar w:fldCharType="end"/>
          </w:r>
          <w:r>
            <w:fldChar w:fldCharType="end"/>
          </w:r>
        </w:p>
        <w:p w14:paraId="793746AC">
          <w:pPr>
            <w:pStyle w:val="12"/>
            <w:tabs>
              <w:tab w:val="right" w:leader="dot" w:pos="9026"/>
            </w:tabs>
          </w:pPr>
          <w:r>
            <w:fldChar w:fldCharType="begin"/>
          </w:r>
          <w:r>
            <w:instrText xml:space="preserve"> HYPERLINK \l _Toc32241 </w:instrText>
          </w:r>
          <w:r>
            <w:fldChar w:fldCharType="separate"/>
          </w:r>
          <w:r>
            <w:rPr>
              <w:rFonts w:ascii="黑体" w:hAnsi="黑体" w:eastAsia="黑体" w:cs="黑体"/>
              <w:bCs/>
              <w:szCs w:val="28"/>
            </w:rPr>
            <w:t>本章小结</w:t>
          </w:r>
          <w:r>
            <w:tab/>
          </w:r>
          <w:r>
            <w:fldChar w:fldCharType="begin"/>
          </w:r>
          <w:r>
            <w:instrText xml:space="preserve"> PAGEREF _Toc32241 \h </w:instrText>
          </w:r>
          <w:r>
            <w:fldChar w:fldCharType="separate"/>
          </w:r>
          <w:r>
            <w:t>57</w:t>
          </w:r>
          <w:r>
            <w:fldChar w:fldCharType="end"/>
          </w:r>
          <w:r>
            <w:fldChar w:fldCharType="end"/>
          </w:r>
        </w:p>
        <w:p w14:paraId="5BBD49AE">
          <w:pPr>
            <w:pStyle w:val="12"/>
            <w:tabs>
              <w:tab w:val="right" w:leader="dot" w:pos="9026"/>
            </w:tabs>
          </w:pPr>
          <w:r>
            <w:fldChar w:fldCharType="begin"/>
          </w:r>
          <w:r>
            <w:instrText xml:space="preserve"> HYPERLINK \l _Toc25744 </w:instrText>
          </w:r>
          <w:r>
            <w:fldChar w:fldCharType="separate"/>
          </w:r>
          <w:r>
            <w:rPr>
              <w:rFonts w:ascii="黑体" w:hAnsi="黑体" w:eastAsia="黑体" w:cs="黑体"/>
              <w:bCs/>
              <w:szCs w:val="28"/>
            </w:rPr>
            <w:t>思考与练习</w:t>
          </w:r>
          <w:r>
            <w:tab/>
          </w:r>
          <w:r>
            <w:fldChar w:fldCharType="begin"/>
          </w:r>
          <w:r>
            <w:instrText xml:space="preserve"> PAGEREF _Toc25744 \h </w:instrText>
          </w:r>
          <w:r>
            <w:fldChar w:fldCharType="separate"/>
          </w:r>
          <w:r>
            <w:t>57</w:t>
          </w:r>
          <w:r>
            <w:fldChar w:fldCharType="end"/>
          </w:r>
          <w:r>
            <w:fldChar w:fldCharType="end"/>
          </w:r>
        </w:p>
        <w:p w14:paraId="2B1D04A0">
          <w:pPr>
            <w:pStyle w:val="12"/>
            <w:tabs>
              <w:tab w:val="right" w:leader="dot" w:pos="9026"/>
            </w:tabs>
          </w:pPr>
          <w:r>
            <w:fldChar w:fldCharType="begin"/>
          </w:r>
          <w:r>
            <w:instrText xml:space="preserve"> HYPERLINK \l _Toc17344 </w:instrText>
          </w:r>
          <w:r>
            <w:fldChar w:fldCharType="separate"/>
          </w:r>
          <w:r>
            <w:rPr>
              <w:rFonts w:ascii="黑体" w:hAnsi="黑体" w:eastAsia="黑体" w:cs="黑体"/>
              <w:bCs/>
              <w:szCs w:val="28"/>
            </w:rPr>
            <w:t>知识卡片：非遗数字化伦理原则</w:t>
          </w:r>
          <w:r>
            <w:tab/>
          </w:r>
          <w:r>
            <w:fldChar w:fldCharType="begin"/>
          </w:r>
          <w:r>
            <w:instrText xml:space="preserve"> PAGEREF _Toc17344 \h </w:instrText>
          </w:r>
          <w:r>
            <w:fldChar w:fldCharType="separate"/>
          </w:r>
          <w:r>
            <w:t>57</w:t>
          </w:r>
          <w:r>
            <w:fldChar w:fldCharType="end"/>
          </w:r>
          <w:r>
            <w:fldChar w:fldCharType="end"/>
          </w:r>
        </w:p>
        <w:p w14:paraId="5A12A835">
          <w:pPr>
            <w:pStyle w:val="10"/>
            <w:tabs>
              <w:tab w:val="right" w:leader="dot" w:pos="9026"/>
            </w:tabs>
          </w:pPr>
          <w:r>
            <w:fldChar w:fldCharType="begin"/>
          </w:r>
          <w:r>
            <w:instrText xml:space="preserve"> HYPERLINK \l _Toc24825 </w:instrText>
          </w:r>
          <w:r>
            <w:fldChar w:fldCharType="separate"/>
          </w:r>
          <w:r>
            <w:rPr>
              <w:rFonts w:ascii="黑体" w:hAnsi="黑体" w:eastAsia="黑体" w:cs="黑体"/>
              <w:bCs/>
              <w:szCs w:val="32"/>
            </w:rPr>
            <w:t>第 7 章  屯堡文化数据库与知识图谱</w:t>
          </w:r>
          <w:r>
            <w:tab/>
          </w:r>
          <w:r>
            <w:fldChar w:fldCharType="begin"/>
          </w:r>
          <w:r>
            <w:instrText xml:space="preserve"> PAGEREF _Toc24825 \h </w:instrText>
          </w:r>
          <w:r>
            <w:fldChar w:fldCharType="separate"/>
          </w:r>
          <w:r>
            <w:t>59</w:t>
          </w:r>
          <w:r>
            <w:fldChar w:fldCharType="end"/>
          </w:r>
          <w:r>
            <w:fldChar w:fldCharType="end"/>
          </w:r>
        </w:p>
        <w:p w14:paraId="6CBA5057">
          <w:pPr>
            <w:pStyle w:val="12"/>
            <w:tabs>
              <w:tab w:val="right" w:leader="dot" w:pos="9026"/>
            </w:tabs>
          </w:pPr>
          <w:r>
            <w:fldChar w:fldCharType="begin"/>
          </w:r>
          <w:r>
            <w:instrText xml:space="preserve"> HYPERLINK \l _Toc15644 </w:instrText>
          </w:r>
          <w:r>
            <w:fldChar w:fldCharType="separate"/>
          </w:r>
          <w:r>
            <w:rPr>
              <w:rFonts w:ascii="黑体" w:hAnsi="黑体" w:eastAsia="黑体" w:cs="黑体"/>
              <w:bCs/>
              <w:szCs w:val="28"/>
            </w:rPr>
            <w:t>学习目标</w:t>
          </w:r>
          <w:r>
            <w:tab/>
          </w:r>
          <w:r>
            <w:fldChar w:fldCharType="begin"/>
          </w:r>
          <w:r>
            <w:instrText xml:space="preserve"> PAGEREF _Toc15644 \h </w:instrText>
          </w:r>
          <w:r>
            <w:fldChar w:fldCharType="separate"/>
          </w:r>
          <w:r>
            <w:t>59</w:t>
          </w:r>
          <w:r>
            <w:fldChar w:fldCharType="end"/>
          </w:r>
          <w:r>
            <w:fldChar w:fldCharType="end"/>
          </w:r>
        </w:p>
        <w:p w14:paraId="51380E95">
          <w:pPr>
            <w:pStyle w:val="12"/>
            <w:tabs>
              <w:tab w:val="right" w:leader="dot" w:pos="9026"/>
            </w:tabs>
          </w:pPr>
          <w:r>
            <w:fldChar w:fldCharType="begin"/>
          </w:r>
          <w:r>
            <w:instrText xml:space="preserve"> HYPERLINK \l _Toc8377 </w:instrText>
          </w:r>
          <w:r>
            <w:fldChar w:fldCharType="separate"/>
          </w:r>
          <w:r>
            <w:rPr>
              <w:rFonts w:ascii="黑体" w:hAnsi="黑体" w:eastAsia="黑体" w:cs="黑体"/>
              <w:bCs/>
              <w:szCs w:val="28"/>
            </w:rPr>
            <w:t>导入案例：从碎片到网络</w:t>
          </w:r>
          <w:r>
            <w:tab/>
          </w:r>
          <w:r>
            <w:fldChar w:fldCharType="begin"/>
          </w:r>
          <w:r>
            <w:instrText xml:space="preserve"> PAGEREF _Toc8377 \h </w:instrText>
          </w:r>
          <w:r>
            <w:fldChar w:fldCharType="separate"/>
          </w:r>
          <w:r>
            <w:t>59</w:t>
          </w:r>
          <w:r>
            <w:fldChar w:fldCharType="end"/>
          </w:r>
          <w:r>
            <w:fldChar w:fldCharType="end"/>
          </w:r>
        </w:p>
        <w:p w14:paraId="243F7D2F">
          <w:pPr>
            <w:pStyle w:val="12"/>
            <w:tabs>
              <w:tab w:val="right" w:leader="dot" w:pos="9026"/>
            </w:tabs>
          </w:pPr>
          <w:r>
            <w:fldChar w:fldCharType="begin"/>
          </w:r>
          <w:r>
            <w:instrText xml:space="preserve"> HYPERLINK \l _Toc4994 </w:instrText>
          </w:r>
          <w:r>
            <w:fldChar w:fldCharType="separate"/>
          </w:r>
          <w:r>
            <w:rPr>
              <w:rFonts w:ascii="黑体" w:hAnsi="黑体" w:eastAsia="黑体" w:cs="黑体"/>
              <w:bCs/>
              <w:szCs w:val="28"/>
            </w:rPr>
            <w:t>7.1 屯堡文化数据资源概述</w:t>
          </w:r>
          <w:r>
            <w:tab/>
          </w:r>
          <w:r>
            <w:fldChar w:fldCharType="begin"/>
          </w:r>
          <w:r>
            <w:instrText xml:space="preserve"> PAGEREF _Toc4994 \h </w:instrText>
          </w:r>
          <w:r>
            <w:fldChar w:fldCharType="separate"/>
          </w:r>
          <w:r>
            <w:t>59</w:t>
          </w:r>
          <w:r>
            <w:fldChar w:fldCharType="end"/>
          </w:r>
          <w:r>
            <w:fldChar w:fldCharType="end"/>
          </w:r>
        </w:p>
        <w:p w14:paraId="4BAD5FE7">
          <w:pPr>
            <w:pStyle w:val="8"/>
            <w:tabs>
              <w:tab w:val="right" w:leader="dot" w:pos="9026"/>
            </w:tabs>
          </w:pPr>
          <w:r>
            <w:fldChar w:fldCharType="begin"/>
          </w:r>
          <w:r>
            <w:instrText xml:space="preserve"> HYPERLINK \l _Toc4409 </w:instrText>
          </w:r>
          <w:r>
            <w:fldChar w:fldCharType="separate"/>
          </w:r>
          <w:r>
            <w:rPr>
              <w:rFonts w:ascii="黑体" w:hAnsi="黑体" w:eastAsia="黑体" w:cs="黑体"/>
              <w:bCs/>
              <w:szCs w:val="26"/>
            </w:rPr>
            <w:t>7.1.1 数据类型与来源</w:t>
          </w:r>
          <w:r>
            <w:tab/>
          </w:r>
          <w:r>
            <w:fldChar w:fldCharType="begin"/>
          </w:r>
          <w:r>
            <w:instrText xml:space="preserve"> PAGEREF _Toc4409 \h </w:instrText>
          </w:r>
          <w:r>
            <w:fldChar w:fldCharType="separate"/>
          </w:r>
          <w:r>
            <w:t>59</w:t>
          </w:r>
          <w:r>
            <w:fldChar w:fldCharType="end"/>
          </w:r>
          <w:r>
            <w:fldChar w:fldCharType="end"/>
          </w:r>
        </w:p>
        <w:p w14:paraId="7DC7E86B">
          <w:pPr>
            <w:pStyle w:val="8"/>
            <w:tabs>
              <w:tab w:val="right" w:leader="dot" w:pos="9026"/>
            </w:tabs>
          </w:pPr>
          <w:r>
            <w:fldChar w:fldCharType="begin"/>
          </w:r>
          <w:r>
            <w:instrText xml:space="preserve"> HYPERLINK \l _Toc18700 </w:instrText>
          </w:r>
          <w:r>
            <w:fldChar w:fldCharType="separate"/>
          </w:r>
          <w:r>
            <w:rPr>
              <w:rFonts w:ascii="黑体" w:hAnsi="黑体" w:eastAsia="黑体" w:cs="黑体"/>
              <w:bCs/>
              <w:szCs w:val="26"/>
            </w:rPr>
            <w:t>7.1.2 数据现状与问题</w:t>
          </w:r>
          <w:r>
            <w:tab/>
          </w:r>
          <w:r>
            <w:fldChar w:fldCharType="begin"/>
          </w:r>
          <w:r>
            <w:instrText xml:space="preserve"> PAGEREF _Toc18700 \h </w:instrText>
          </w:r>
          <w:r>
            <w:fldChar w:fldCharType="separate"/>
          </w:r>
          <w:r>
            <w:t>60</w:t>
          </w:r>
          <w:r>
            <w:fldChar w:fldCharType="end"/>
          </w:r>
          <w:r>
            <w:fldChar w:fldCharType="end"/>
          </w:r>
        </w:p>
        <w:p w14:paraId="71F28F51">
          <w:pPr>
            <w:pStyle w:val="8"/>
            <w:tabs>
              <w:tab w:val="right" w:leader="dot" w:pos="9026"/>
            </w:tabs>
          </w:pPr>
          <w:r>
            <w:fldChar w:fldCharType="begin"/>
          </w:r>
          <w:r>
            <w:instrText xml:space="preserve"> HYPERLINK \l _Toc13599 </w:instrText>
          </w:r>
          <w:r>
            <w:fldChar w:fldCharType="separate"/>
          </w:r>
          <w:r>
            <w:rPr>
              <w:rFonts w:ascii="黑体" w:hAnsi="黑体" w:eastAsia="黑体" w:cs="黑体"/>
              <w:bCs/>
              <w:szCs w:val="26"/>
            </w:rPr>
            <w:t>7.1.3 数据治理策略</w:t>
          </w:r>
          <w:r>
            <w:tab/>
          </w:r>
          <w:r>
            <w:fldChar w:fldCharType="begin"/>
          </w:r>
          <w:r>
            <w:instrText xml:space="preserve"> PAGEREF _Toc13599 \h </w:instrText>
          </w:r>
          <w:r>
            <w:fldChar w:fldCharType="separate"/>
          </w:r>
          <w:r>
            <w:t>60</w:t>
          </w:r>
          <w:r>
            <w:fldChar w:fldCharType="end"/>
          </w:r>
          <w:r>
            <w:fldChar w:fldCharType="end"/>
          </w:r>
        </w:p>
        <w:p w14:paraId="6FB5FA63">
          <w:pPr>
            <w:pStyle w:val="12"/>
            <w:tabs>
              <w:tab w:val="right" w:leader="dot" w:pos="9026"/>
            </w:tabs>
          </w:pPr>
          <w:r>
            <w:fldChar w:fldCharType="begin"/>
          </w:r>
          <w:r>
            <w:instrText xml:space="preserve"> HYPERLINK \l _Toc755 </w:instrText>
          </w:r>
          <w:r>
            <w:fldChar w:fldCharType="separate"/>
          </w:r>
          <w:r>
            <w:rPr>
              <w:rFonts w:ascii="黑体" w:hAnsi="黑体" w:eastAsia="黑体" w:cs="黑体"/>
              <w:bCs/>
              <w:szCs w:val="28"/>
            </w:rPr>
            <w:t>7.2 屯堡文化元数据标准</w:t>
          </w:r>
          <w:r>
            <w:tab/>
          </w:r>
          <w:r>
            <w:fldChar w:fldCharType="begin"/>
          </w:r>
          <w:r>
            <w:instrText xml:space="preserve"> PAGEREF _Toc755 \h </w:instrText>
          </w:r>
          <w:r>
            <w:fldChar w:fldCharType="separate"/>
          </w:r>
          <w:r>
            <w:t>60</w:t>
          </w:r>
          <w:r>
            <w:fldChar w:fldCharType="end"/>
          </w:r>
          <w:r>
            <w:fldChar w:fldCharType="end"/>
          </w:r>
        </w:p>
        <w:p w14:paraId="5E3F3019">
          <w:pPr>
            <w:pStyle w:val="8"/>
            <w:tabs>
              <w:tab w:val="right" w:leader="dot" w:pos="9026"/>
            </w:tabs>
          </w:pPr>
          <w:r>
            <w:fldChar w:fldCharType="begin"/>
          </w:r>
          <w:r>
            <w:instrText xml:space="preserve"> HYPERLINK \l _Toc15678 </w:instrText>
          </w:r>
          <w:r>
            <w:fldChar w:fldCharType="separate"/>
          </w:r>
          <w:r>
            <w:rPr>
              <w:rFonts w:ascii="黑体" w:hAnsi="黑体" w:eastAsia="黑体" w:cs="黑体"/>
              <w:bCs/>
              <w:szCs w:val="26"/>
            </w:rPr>
            <w:t>7.2.1 元数据的概念与作用</w:t>
          </w:r>
          <w:r>
            <w:tab/>
          </w:r>
          <w:r>
            <w:fldChar w:fldCharType="begin"/>
          </w:r>
          <w:r>
            <w:instrText xml:space="preserve"> PAGEREF _Toc15678 \h </w:instrText>
          </w:r>
          <w:r>
            <w:fldChar w:fldCharType="separate"/>
          </w:r>
          <w:r>
            <w:t>61</w:t>
          </w:r>
          <w:r>
            <w:fldChar w:fldCharType="end"/>
          </w:r>
          <w:r>
            <w:fldChar w:fldCharType="end"/>
          </w:r>
        </w:p>
        <w:p w14:paraId="1109FD9C">
          <w:pPr>
            <w:pStyle w:val="8"/>
            <w:tabs>
              <w:tab w:val="right" w:leader="dot" w:pos="9026"/>
            </w:tabs>
          </w:pPr>
          <w:r>
            <w:fldChar w:fldCharType="begin"/>
          </w:r>
          <w:r>
            <w:instrText xml:space="preserve"> HYPERLINK \l _Toc21816 </w:instrText>
          </w:r>
          <w:r>
            <w:fldChar w:fldCharType="separate"/>
          </w:r>
          <w:r>
            <w:rPr>
              <w:rFonts w:ascii="黑体" w:hAnsi="黑体" w:eastAsia="黑体" w:cs="黑体"/>
              <w:bCs/>
              <w:szCs w:val="26"/>
            </w:rPr>
            <w:t>7.2.2 都柏林核心元数据标准</w:t>
          </w:r>
          <w:r>
            <w:tab/>
          </w:r>
          <w:r>
            <w:fldChar w:fldCharType="begin"/>
          </w:r>
          <w:r>
            <w:instrText xml:space="preserve"> PAGEREF _Toc21816 \h </w:instrText>
          </w:r>
          <w:r>
            <w:fldChar w:fldCharType="separate"/>
          </w:r>
          <w:r>
            <w:t>61</w:t>
          </w:r>
          <w:r>
            <w:fldChar w:fldCharType="end"/>
          </w:r>
          <w:r>
            <w:fldChar w:fldCharType="end"/>
          </w:r>
        </w:p>
        <w:p w14:paraId="1D3B1DA2">
          <w:pPr>
            <w:pStyle w:val="8"/>
            <w:tabs>
              <w:tab w:val="right" w:leader="dot" w:pos="9026"/>
            </w:tabs>
          </w:pPr>
          <w:r>
            <w:fldChar w:fldCharType="begin"/>
          </w:r>
          <w:r>
            <w:instrText xml:space="preserve"> HYPERLINK \l _Toc25129 </w:instrText>
          </w:r>
          <w:r>
            <w:fldChar w:fldCharType="separate"/>
          </w:r>
          <w:r>
            <w:rPr>
              <w:rFonts w:ascii="黑体" w:hAnsi="黑体" w:eastAsia="黑体" w:cs="黑体"/>
              <w:bCs/>
              <w:szCs w:val="26"/>
            </w:rPr>
            <w:t>7.2.3 屯堡文化专用元数据方案</w:t>
          </w:r>
          <w:r>
            <w:tab/>
          </w:r>
          <w:r>
            <w:fldChar w:fldCharType="begin"/>
          </w:r>
          <w:r>
            <w:instrText xml:space="preserve"> PAGEREF _Toc25129 \h </w:instrText>
          </w:r>
          <w:r>
            <w:fldChar w:fldCharType="separate"/>
          </w:r>
          <w:r>
            <w:t>61</w:t>
          </w:r>
          <w:r>
            <w:fldChar w:fldCharType="end"/>
          </w:r>
          <w:r>
            <w:fldChar w:fldCharType="end"/>
          </w:r>
        </w:p>
        <w:p w14:paraId="7872F99B">
          <w:pPr>
            <w:pStyle w:val="12"/>
            <w:tabs>
              <w:tab w:val="right" w:leader="dot" w:pos="9026"/>
            </w:tabs>
          </w:pPr>
          <w:r>
            <w:fldChar w:fldCharType="begin"/>
          </w:r>
          <w:r>
            <w:instrText xml:space="preserve"> HYPERLINK \l _Toc110 </w:instrText>
          </w:r>
          <w:r>
            <w:fldChar w:fldCharType="separate"/>
          </w:r>
          <w:r>
            <w:rPr>
              <w:rFonts w:ascii="黑体" w:hAnsi="黑体" w:eastAsia="黑体" w:cs="黑体"/>
              <w:bCs/>
              <w:szCs w:val="28"/>
            </w:rPr>
            <w:t>7.3 知识图谱技术基础</w:t>
          </w:r>
          <w:r>
            <w:tab/>
          </w:r>
          <w:r>
            <w:fldChar w:fldCharType="begin"/>
          </w:r>
          <w:r>
            <w:instrText xml:space="preserve"> PAGEREF _Toc110 \h </w:instrText>
          </w:r>
          <w:r>
            <w:fldChar w:fldCharType="separate"/>
          </w:r>
          <w:r>
            <w:t>62</w:t>
          </w:r>
          <w:r>
            <w:fldChar w:fldCharType="end"/>
          </w:r>
          <w:r>
            <w:fldChar w:fldCharType="end"/>
          </w:r>
        </w:p>
        <w:p w14:paraId="057B7F27">
          <w:pPr>
            <w:pStyle w:val="8"/>
            <w:tabs>
              <w:tab w:val="right" w:leader="dot" w:pos="9026"/>
            </w:tabs>
          </w:pPr>
          <w:r>
            <w:fldChar w:fldCharType="begin"/>
          </w:r>
          <w:r>
            <w:instrText xml:space="preserve"> HYPERLINK \l _Toc19269 </w:instrText>
          </w:r>
          <w:r>
            <w:fldChar w:fldCharType="separate"/>
          </w:r>
          <w:r>
            <w:rPr>
              <w:rFonts w:ascii="黑体" w:hAnsi="黑体" w:eastAsia="黑体" w:cs="黑体"/>
              <w:bCs/>
              <w:szCs w:val="26"/>
            </w:rPr>
            <w:t>7.3.1 知识图谱的概念</w:t>
          </w:r>
          <w:r>
            <w:tab/>
          </w:r>
          <w:r>
            <w:fldChar w:fldCharType="begin"/>
          </w:r>
          <w:r>
            <w:instrText xml:space="preserve"> PAGEREF _Toc19269 \h </w:instrText>
          </w:r>
          <w:r>
            <w:fldChar w:fldCharType="separate"/>
          </w:r>
          <w:r>
            <w:t>62</w:t>
          </w:r>
          <w:r>
            <w:fldChar w:fldCharType="end"/>
          </w:r>
          <w:r>
            <w:fldChar w:fldCharType="end"/>
          </w:r>
        </w:p>
        <w:p w14:paraId="38657CBD">
          <w:pPr>
            <w:pStyle w:val="8"/>
            <w:tabs>
              <w:tab w:val="right" w:leader="dot" w:pos="9026"/>
            </w:tabs>
          </w:pPr>
          <w:r>
            <w:fldChar w:fldCharType="begin"/>
          </w:r>
          <w:r>
            <w:instrText xml:space="preserve"> HYPERLINK \l _Toc23293 </w:instrText>
          </w:r>
          <w:r>
            <w:fldChar w:fldCharType="separate"/>
          </w:r>
          <w:r>
            <w:rPr>
              <w:rFonts w:ascii="黑体" w:hAnsi="黑体" w:eastAsia="黑体" w:cs="黑体"/>
              <w:bCs/>
              <w:szCs w:val="26"/>
            </w:rPr>
            <w:t>7.3.2 知识图谱的核心技术</w:t>
          </w:r>
          <w:r>
            <w:tab/>
          </w:r>
          <w:r>
            <w:fldChar w:fldCharType="begin"/>
          </w:r>
          <w:r>
            <w:instrText xml:space="preserve"> PAGEREF _Toc23293 \h </w:instrText>
          </w:r>
          <w:r>
            <w:fldChar w:fldCharType="separate"/>
          </w:r>
          <w:r>
            <w:t>62</w:t>
          </w:r>
          <w:r>
            <w:fldChar w:fldCharType="end"/>
          </w:r>
          <w:r>
            <w:fldChar w:fldCharType="end"/>
          </w:r>
        </w:p>
        <w:p w14:paraId="19EE55A9">
          <w:pPr>
            <w:pStyle w:val="8"/>
            <w:tabs>
              <w:tab w:val="right" w:leader="dot" w:pos="9026"/>
            </w:tabs>
          </w:pPr>
          <w:r>
            <w:fldChar w:fldCharType="begin"/>
          </w:r>
          <w:r>
            <w:instrText xml:space="preserve"> HYPERLINK \l _Toc10582 </w:instrText>
          </w:r>
          <w:r>
            <w:fldChar w:fldCharType="separate"/>
          </w:r>
          <w:r>
            <w:rPr>
              <w:rFonts w:ascii="黑体" w:hAnsi="黑体" w:eastAsia="黑体" w:cs="黑体"/>
              <w:bCs/>
              <w:szCs w:val="26"/>
            </w:rPr>
            <w:t>7.3.3 知识图谱构建流程</w:t>
          </w:r>
          <w:r>
            <w:tab/>
          </w:r>
          <w:r>
            <w:fldChar w:fldCharType="begin"/>
          </w:r>
          <w:r>
            <w:instrText xml:space="preserve"> PAGEREF _Toc10582 \h </w:instrText>
          </w:r>
          <w:r>
            <w:fldChar w:fldCharType="separate"/>
          </w:r>
          <w:r>
            <w:t>62</w:t>
          </w:r>
          <w:r>
            <w:fldChar w:fldCharType="end"/>
          </w:r>
          <w:r>
            <w:fldChar w:fldCharType="end"/>
          </w:r>
        </w:p>
        <w:p w14:paraId="14082F9F">
          <w:pPr>
            <w:pStyle w:val="12"/>
            <w:tabs>
              <w:tab w:val="right" w:leader="dot" w:pos="9026"/>
            </w:tabs>
          </w:pPr>
          <w:r>
            <w:fldChar w:fldCharType="begin"/>
          </w:r>
          <w:r>
            <w:instrText xml:space="preserve"> HYPERLINK \l _Toc32118 </w:instrText>
          </w:r>
          <w:r>
            <w:fldChar w:fldCharType="separate"/>
          </w:r>
          <w:r>
            <w:rPr>
              <w:rFonts w:ascii="黑体" w:hAnsi="黑体" w:eastAsia="黑体" w:cs="黑体"/>
              <w:bCs/>
              <w:szCs w:val="28"/>
            </w:rPr>
            <w:t>7.4 屯堡文化知识图谱设计</w:t>
          </w:r>
          <w:r>
            <w:tab/>
          </w:r>
          <w:r>
            <w:fldChar w:fldCharType="begin"/>
          </w:r>
          <w:r>
            <w:instrText xml:space="preserve"> PAGEREF _Toc32118 \h </w:instrText>
          </w:r>
          <w:r>
            <w:fldChar w:fldCharType="separate"/>
          </w:r>
          <w:r>
            <w:t>63</w:t>
          </w:r>
          <w:r>
            <w:fldChar w:fldCharType="end"/>
          </w:r>
          <w:r>
            <w:fldChar w:fldCharType="end"/>
          </w:r>
        </w:p>
        <w:p w14:paraId="6E98CB6A">
          <w:pPr>
            <w:pStyle w:val="8"/>
            <w:tabs>
              <w:tab w:val="right" w:leader="dot" w:pos="9026"/>
            </w:tabs>
          </w:pPr>
          <w:r>
            <w:fldChar w:fldCharType="begin"/>
          </w:r>
          <w:r>
            <w:instrText xml:space="preserve"> HYPERLINK \l _Toc1264 </w:instrText>
          </w:r>
          <w:r>
            <w:fldChar w:fldCharType="separate"/>
          </w:r>
          <w:r>
            <w:rPr>
              <w:rFonts w:ascii="黑体" w:hAnsi="黑体" w:eastAsia="黑体" w:cs="黑体"/>
              <w:bCs/>
              <w:szCs w:val="26"/>
            </w:rPr>
            <w:t>7.4.1 本体模型设计</w:t>
          </w:r>
          <w:r>
            <w:tab/>
          </w:r>
          <w:r>
            <w:fldChar w:fldCharType="begin"/>
          </w:r>
          <w:r>
            <w:instrText xml:space="preserve"> PAGEREF _Toc1264 \h </w:instrText>
          </w:r>
          <w:r>
            <w:fldChar w:fldCharType="separate"/>
          </w:r>
          <w:r>
            <w:t>63</w:t>
          </w:r>
          <w:r>
            <w:fldChar w:fldCharType="end"/>
          </w:r>
          <w:r>
            <w:fldChar w:fldCharType="end"/>
          </w:r>
        </w:p>
        <w:p w14:paraId="0435EA25">
          <w:pPr>
            <w:pStyle w:val="8"/>
            <w:tabs>
              <w:tab w:val="right" w:leader="dot" w:pos="9026"/>
            </w:tabs>
          </w:pPr>
          <w:r>
            <w:fldChar w:fldCharType="begin"/>
          </w:r>
          <w:r>
            <w:instrText xml:space="preserve"> HYPERLINK \l _Toc25189 </w:instrText>
          </w:r>
          <w:r>
            <w:fldChar w:fldCharType="separate"/>
          </w:r>
          <w:r>
            <w:rPr>
              <w:rFonts w:ascii="黑体" w:hAnsi="黑体" w:eastAsia="黑体" w:cs="黑体"/>
              <w:bCs/>
              <w:szCs w:val="26"/>
            </w:rPr>
            <w:t>7.4.2 知识抽取策略</w:t>
          </w:r>
          <w:r>
            <w:tab/>
          </w:r>
          <w:r>
            <w:fldChar w:fldCharType="begin"/>
          </w:r>
          <w:r>
            <w:instrText xml:space="preserve"> PAGEREF _Toc25189 \h </w:instrText>
          </w:r>
          <w:r>
            <w:fldChar w:fldCharType="separate"/>
          </w:r>
          <w:r>
            <w:t>64</w:t>
          </w:r>
          <w:r>
            <w:fldChar w:fldCharType="end"/>
          </w:r>
          <w:r>
            <w:fldChar w:fldCharType="end"/>
          </w:r>
        </w:p>
        <w:p w14:paraId="5DA496C7">
          <w:pPr>
            <w:pStyle w:val="8"/>
            <w:tabs>
              <w:tab w:val="right" w:leader="dot" w:pos="9026"/>
            </w:tabs>
          </w:pPr>
          <w:r>
            <w:fldChar w:fldCharType="begin"/>
          </w:r>
          <w:r>
            <w:instrText xml:space="preserve"> HYPERLINK \l _Toc12295 </w:instrText>
          </w:r>
          <w:r>
            <w:fldChar w:fldCharType="separate"/>
          </w:r>
          <w:r>
            <w:rPr>
              <w:rFonts w:ascii="黑体" w:hAnsi="黑体" w:eastAsia="黑体" w:cs="黑体"/>
              <w:bCs/>
              <w:szCs w:val="26"/>
            </w:rPr>
            <w:t>7.4.3 多模态知识整合</w:t>
          </w:r>
          <w:r>
            <w:tab/>
          </w:r>
          <w:r>
            <w:fldChar w:fldCharType="begin"/>
          </w:r>
          <w:r>
            <w:instrText xml:space="preserve"> PAGEREF _Toc12295 \h </w:instrText>
          </w:r>
          <w:r>
            <w:fldChar w:fldCharType="separate"/>
          </w:r>
          <w:r>
            <w:t>64</w:t>
          </w:r>
          <w:r>
            <w:fldChar w:fldCharType="end"/>
          </w:r>
          <w:r>
            <w:fldChar w:fldCharType="end"/>
          </w:r>
        </w:p>
        <w:p w14:paraId="2C4056FB">
          <w:pPr>
            <w:pStyle w:val="12"/>
            <w:tabs>
              <w:tab w:val="right" w:leader="dot" w:pos="9026"/>
            </w:tabs>
          </w:pPr>
          <w:r>
            <w:fldChar w:fldCharType="begin"/>
          </w:r>
          <w:r>
            <w:instrText xml:space="preserve"> HYPERLINK \l _Toc4107 </w:instrText>
          </w:r>
          <w:r>
            <w:fldChar w:fldCharType="separate"/>
          </w:r>
          <w:r>
            <w:rPr>
              <w:rFonts w:ascii="黑体" w:hAnsi="黑体" w:eastAsia="黑体" w:cs="黑体"/>
              <w:bCs/>
              <w:szCs w:val="28"/>
            </w:rPr>
            <w:t>7.5 知识图谱应用场景</w:t>
          </w:r>
          <w:r>
            <w:tab/>
          </w:r>
          <w:r>
            <w:fldChar w:fldCharType="begin"/>
          </w:r>
          <w:r>
            <w:instrText xml:space="preserve"> PAGEREF _Toc4107 \h </w:instrText>
          </w:r>
          <w:r>
            <w:fldChar w:fldCharType="separate"/>
          </w:r>
          <w:r>
            <w:t>64</w:t>
          </w:r>
          <w:r>
            <w:fldChar w:fldCharType="end"/>
          </w:r>
          <w:r>
            <w:fldChar w:fldCharType="end"/>
          </w:r>
        </w:p>
        <w:p w14:paraId="1CDF8140">
          <w:pPr>
            <w:pStyle w:val="8"/>
            <w:tabs>
              <w:tab w:val="right" w:leader="dot" w:pos="9026"/>
            </w:tabs>
          </w:pPr>
          <w:r>
            <w:fldChar w:fldCharType="begin"/>
          </w:r>
          <w:r>
            <w:instrText xml:space="preserve"> HYPERLINK \l _Toc25715 </w:instrText>
          </w:r>
          <w:r>
            <w:fldChar w:fldCharType="separate"/>
          </w:r>
          <w:r>
            <w:rPr>
              <w:rFonts w:ascii="黑体" w:hAnsi="黑体" w:eastAsia="黑体" w:cs="黑体"/>
              <w:bCs/>
              <w:szCs w:val="26"/>
            </w:rPr>
            <w:t>7.5.1 智能检索与问答</w:t>
          </w:r>
          <w:r>
            <w:tab/>
          </w:r>
          <w:r>
            <w:fldChar w:fldCharType="begin"/>
          </w:r>
          <w:r>
            <w:instrText xml:space="preserve"> PAGEREF _Toc25715 \h </w:instrText>
          </w:r>
          <w:r>
            <w:fldChar w:fldCharType="separate"/>
          </w:r>
          <w:r>
            <w:t>64</w:t>
          </w:r>
          <w:r>
            <w:fldChar w:fldCharType="end"/>
          </w:r>
          <w:r>
            <w:fldChar w:fldCharType="end"/>
          </w:r>
        </w:p>
        <w:p w14:paraId="7E60FE16">
          <w:pPr>
            <w:pStyle w:val="8"/>
            <w:tabs>
              <w:tab w:val="right" w:leader="dot" w:pos="9026"/>
            </w:tabs>
          </w:pPr>
          <w:r>
            <w:fldChar w:fldCharType="begin"/>
          </w:r>
          <w:r>
            <w:instrText xml:space="preserve"> HYPERLINK \l _Toc23638 </w:instrText>
          </w:r>
          <w:r>
            <w:fldChar w:fldCharType="separate"/>
          </w:r>
          <w:r>
            <w:rPr>
              <w:rFonts w:ascii="黑体" w:hAnsi="黑体" w:eastAsia="黑体" w:cs="黑体"/>
              <w:bCs/>
              <w:szCs w:val="26"/>
            </w:rPr>
            <w:t>7.5.2 文化关联发现</w:t>
          </w:r>
          <w:r>
            <w:tab/>
          </w:r>
          <w:r>
            <w:fldChar w:fldCharType="begin"/>
          </w:r>
          <w:r>
            <w:instrText xml:space="preserve"> PAGEREF _Toc23638 \h </w:instrText>
          </w:r>
          <w:r>
            <w:fldChar w:fldCharType="separate"/>
          </w:r>
          <w:r>
            <w:t>65</w:t>
          </w:r>
          <w:r>
            <w:fldChar w:fldCharType="end"/>
          </w:r>
          <w:r>
            <w:fldChar w:fldCharType="end"/>
          </w:r>
        </w:p>
        <w:p w14:paraId="2DD15379">
          <w:pPr>
            <w:pStyle w:val="8"/>
            <w:tabs>
              <w:tab w:val="right" w:leader="dot" w:pos="9026"/>
            </w:tabs>
          </w:pPr>
          <w:r>
            <w:fldChar w:fldCharType="begin"/>
          </w:r>
          <w:r>
            <w:instrText xml:space="preserve"> HYPERLINK \l _Toc24077 </w:instrText>
          </w:r>
          <w:r>
            <w:fldChar w:fldCharType="separate"/>
          </w:r>
          <w:r>
            <w:rPr>
              <w:rFonts w:ascii="黑体" w:hAnsi="黑体" w:eastAsia="黑体" w:cs="黑体"/>
              <w:bCs/>
              <w:szCs w:val="26"/>
            </w:rPr>
            <w:t>7.5.3 智能推荐</w:t>
          </w:r>
          <w:r>
            <w:tab/>
          </w:r>
          <w:r>
            <w:fldChar w:fldCharType="begin"/>
          </w:r>
          <w:r>
            <w:instrText xml:space="preserve"> PAGEREF _Toc24077 \h </w:instrText>
          </w:r>
          <w:r>
            <w:fldChar w:fldCharType="separate"/>
          </w:r>
          <w:r>
            <w:t>65</w:t>
          </w:r>
          <w:r>
            <w:fldChar w:fldCharType="end"/>
          </w:r>
          <w:r>
            <w:fldChar w:fldCharType="end"/>
          </w:r>
        </w:p>
        <w:p w14:paraId="0284D04E">
          <w:pPr>
            <w:pStyle w:val="8"/>
            <w:tabs>
              <w:tab w:val="right" w:leader="dot" w:pos="9026"/>
            </w:tabs>
          </w:pPr>
          <w:r>
            <w:fldChar w:fldCharType="begin"/>
          </w:r>
          <w:r>
            <w:instrText xml:space="preserve"> HYPERLINK \l _Toc692 </w:instrText>
          </w:r>
          <w:r>
            <w:fldChar w:fldCharType="separate"/>
          </w:r>
          <w:r>
            <w:rPr>
              <w:rFonts w:ascii="黑体" w:hAnsi="黑体" w:eastAsia="黑体" w:cs="黑体"/>
              <w:bCs/>
              <w:szCs w:val="26"/>
            </w:rPr>
            <w:t>7.5.4 数字叙事</w:t>
          </w:r>
          <w:r>
            <w:tab/>
          </w:r>
          <w:r>
            <w:fldChar w:fldCharType="begin"/>
          </w:r>
          <w:r>
            <w:instrText xml:space="preserve"> PAGEREF _Toc692 \h </w:instrText>
          </w:r>
          <w:r>
            <w:fldChar w:fldCharType="separate"/>
          </w:r>
          <w:r>
            <w:t>65</w:t>
          </w:r>
          <w:r>
            <w:fldChar w:fldCharType="end"/>
          </w:r>
          <w:r>
            <w:fldChar w:fldCharType="end"/>
          </w:r>
        </w:p>
        <w:p w14:paraId="56A0FEEC">
          <w:pPr>
            <w:pStyle w:val="12"/>
            <w:tabs>
              <w:tab w:val="right" w:leader="dot" w:pos="9026"/>
            </w:tabs>
          </w:pPr>
          <w:r>
            <w:fldChar w:fldCharType="begin"/>
          </w:r>
          <w:r>
            <w:instrText xml:space="preserve"> HYPERLINK \l _Toc9606 </w:instrText>
          </w:r>
          <w:r>
            <w:fldChar w:fldCharType="separate"/>
          </w:r>
          <w:r>
            <w:rPr>
              <w:rFonts w:ascii="黑体" w:hAnsi="黑体" w:eastAsia="黑体" w:cs="黑体"/>
              <w:bCs/>
              <w:szCs w:val="28"/>
            </w:rPr>
            <w:t>7.6 屯堡文化大数据平台设计</w:t>
          </w:r>
          <w:r>
            <w:tab/>
          </w:r>
          <w:r>
            <w:fldChar w:fldCharType="begin"/>
          </w:r>
          <w:r>
            <w:instrText xml:space="preserve"> PAGEREF _Toc9606 \h </w:instrText>
          </w:r>
          <w:r>
            <w:fldChar w:fldCharType="separate"/>
          </w:r>
          <w:r>
            <w:t>65</w:t>
          </w:r>
          <w:r>
            <w:fldChar w:fldCharType="end"/>
          </w:r>
          <w:r>
            <w:fldChar w:fldCharType="end"/>
          </w:r>
        </w:p>
        <w:p w14:paraId="5D876162">
          <w:pPr>
            <w:pStyle w:val="8"/>
            <w:tabs>
              <w:tab w:val="right" w:leader="dot" w:pos="9026"/>
            </w:tabs>
          </w:pPr>
          <w:r>
            <w:fldChar w:fldCharType="begin"/>
          </w:r>
          <w:r>
            <w:instrText xml:space="preserve"> HYPERLINK \l _Toc8237 </w:instrText>
          </w:r>
          <w:r>
            <w:fldChar w:fldCharType="separate"/>
          </w:r>
          <w:r>
            <w:rPr>
              <w:rFonts w:ascii="黑体" w:hAnsi="黑体" w:eastAsia="黑体" w:cs="黑体"/>
              <w:bCs/>
              <w:szCs w:val="26"/>
            </w:rPr>
            <w:t>7.6.1 平台总体架构</w:t>
          </w:r>
          <w:r>
            <w:tab/>
          </w:r>
          <w:r>
            <w:fldChar w:fldCharType="begin"/>
          </w:r>
          <w:r>
            <w:instrText xml:space="preserve"> PAGEREF _Toc8237 \h </w:instrText>
          </w:r>
          <w:r>
            <w:fldChar w:fldCharType="separate"/>
          </w:r>
          <w:r>
            <w:t>65</w:t>
          </w:r>
          <w:r>
            <w:fldChar w:fldCharType="end"/>
          </w:r>
          <w:r>
            <w:fldChar w:fldCharType="end"/>
          </w:r>
        </w:p>
        <w:p w14:paraId="695FE9EF">
          <w:pPr>
            <w:pStyle w:val="8"/>
            <w:tabs>
              <w:tab w:val="right" w:leader="dot" w:pos="9026"/>
            </w:tabs>
          </w:pPr>
          <w:r>
            <w:fldChar w:fldCharType="begin"/>
          </w:r>
          <w:r>
            <w:instrText xml:space="preserve"> HYPERLINK \l _Toc1685 </w:instrText>
          </w:r>
          <w:r>
            <w:fldChar w:fldCharType="separate"/>
          </w:r>
          <w:r>
            <w:rPr>
              <w:rFonts w:ascii="黑体" w:hAnsi="黑体" w:eastAsia="黑体" w:cs="黑体"/>
              <w:bCs/>
              <w:szCs w:val="26"/>
            </w:rPr>
            <w:t>7.6.2 数据共享与开放</w:t>
          </w:r>
          <w:r>
            <w:tab/>
          </w:r>
          <w:r>
            <w:fldChar w:fldCharType="begin"/>
          </w:r>
          <w:r>
            <w:instrText xml:space="preserve"> PAGEREF _Toc1685 \h </w:instrText>
          </w:r>
          <w:r>
            <w:fldChar w:fldCharType="separate"/>
          </w:r>
          <w:r>
            <w:t>66</w:t>
          </w:r>
          <w:r>
            <w:fldChar w:fldCharType="end"/>
          </w:r>
          <w:r>
            <w:fldChar w:fldCharType="end"/>
          </w:r>
        </w:p>
        <w:p w14:paraId="43E661F2">
          <w:pPr>
            <w:pStyle w:val="8"/>
            <w:tabs>
              <w:tab w:val="right" w:leader="dot" w:pos="9026"/>
            </w:tabs>
          </w:pPr>
          <w:r>
            <w:fldChar w:fldCharType="begin"/>
          </w:r>
          <w:r>
            <w:instrText xml:space="preserve"> HYPERLINK \l _Toc4410 </w:instrText>
          </w:r>
          <w:r>
            <w:fldChar w:fldCharType="separate"/>
          </w:r>
          <w:r>
            <w:rPr>
              <w:rFonts w:ascii="黑体" w:hAnsi="黑体" w:eastAsia="黑体" w:cs="黑体"/>
              <w:bCs/>
              <w:szCs w:val="26"/>
            </w:rPr>
            <w:t>7.6.3 可持续发展机制</w:t>
          </w:r>
          <w:r>
            <w:tab/>
          </w:r>
          <w:r>
            <w:fldChar w:fldCharType="begin"/>
          </w:r>
          <w:r>
            <w:instrText xml:space="preserve"> PAGEREF _Toc4410 \h </w:instrText>
          </w:r>
          <w:r>
            <w:fldChar w:fldCharType="separate"/>
          </w:r>
          <w:r>
            <w:t>66</w:t>
          </w:r>
          <w:r>
            <w:fldChar w:fldCharType="end"/>
          </w:r>
          <w:r>
            <w:fldChar w:fldCharType="end"/>
          </w:r>
        </w:p>
        <w:p w14:paraId="1E585A23">
          <w:pPr>
            <w:pStyle w:val="12"/>
            <w:tabs>
              <w:tab w:val="right" w:leader="dot" w:pos="9026"/>
            </w:tabs>
          </w:pPr>
          <w:r>
            <w:fldChar w:fldCharType="begin"/>
          </w:r>
          <w:r>
            <w:instrText xml:space="preserve"> HYPERLINK \l _Toc13536 </w:instrText>
          </w:r>
          <w:r>
            <w:fldChar w:fldCharType="separate"/>
          </w:r>
          <w:r>
            <w:rPr>
              <w:rFonts w:ascii="黑体" w:hAnsi="黑体" w:eastAsia="黑体" w:cs="黑体"/>
              <w:bCs/>
              <w:szCs w:val="28"/>
            </w:rPr>
            <w:t>本章小结</w:t>
          </w:r>
          <w:r>
            <w:tab/>
          </w:r>
          <w:r>
            <w:fldChar w:fldCharType="begin"/>
          </w:r>
          <w:r>
            <w:instrText xml:space="preserve"> PAGEREF _Toc13536 \h </w:instrText>
          </w:r>
          <w:r>
            <w:fldChar w:fldCharType="separate"/>
          </w:r>
          <w:r>
            <w:t>66</w:t>
          </w:r>
          <w:r>
            <w:fldChar w:fldCharType="end"/>
          </w:r>
          <w:r>
            <w:fldChar w:fldCharType="end"/>
          </w:r>
        </w:p>
        <w:p w14:paraId="3C4735B5">
          <w:pPr>
            <w:pStyle w:val="12"/>
            <w:tabs>
              <w:tab w:val="right" w:leader="dot" w:pos="9026"/>
            </w:tabs>
          </w:pPr>
          <w:r>
            <w:fldChar w:fldCharType="begin"/>
          </w:r>
          <w:r>
            <w:instrText xml:space="preserve"> HYPERLINK \l _Toc18329 </w:instrText>
          </w:r>
          <w:r>
            <w:fldChar w:fldCharType="separate"/>
          </w:r>
          <w:r>
            <w:rPr>
              <w:rFonts w:ascii="黑体" w:hAnsi="黑体" w:eastAsia="黑体" w:cs="黑体"/>
              <w:bCs/>
              <w:szCs w:val="28"/>
            </w:rPr>
            <w:t>思考与练习</w:t>
          </w:r>
          <w:r>
            <w:tab/>
          </w:r>
          <w:r>
            <w:fldChar w:fldCharType="begin"/>
          </w:r>
          <w:r>
            <w:instrText xml:space="preserve"> PAGEREF _Toc18329 \h </w:instrText>
          </w:r>
          <w:r>
            <w:fldChar w:fldCharType="separate"/>
          </w:r>
          <w:r>
            <w:t>67</w:t>
          </w:r>
          <w:r>
            <w:fldChar w:fldCharType="end"/>
          </w:r>
          <w:r>
            <w:fldChar w:fldCharType="end"/>
          </w:r>
        </w:p>
        <w:p w14:paraId="7D943021">
          <w:pPr>
            <w:pStyle w:val="12"/>
            <w:tabs>
              <w:tab w:val="right" w:leader="dot" w:pos="9026"/>
            </w:tabs>
          </w:pPr>
          <w:r>
            <w:fldChar w:fldCharType="begin"/>
          </w:r>
          <w:r>
            <w:instrText xml:space="preserve"> HYPERLINK \l _Toc32032 </w:instrText>
          </w:r>
          <w:r>
            <w:fldChar w:fldCharType="separate"/>
          </w:r>
          <w:r>
            <w:rPr>
              <w:rFonts w:ascii="黑体" w:hAnsi="黑体" w:eastAsia="黑体" w:cs="黑体"/>
              <w:bCs/>
              <w:szCs w:val="28"/>
            </w:rPr>
            <w:t>知识卡片：知识图谱 vs 传统数据库</w:t>
          </w:r>
          <w:r>
            <w:tab/>
          </w:r>
          <w:r>
            <w:fldChar w:fldCharType="begin"/>
          </w:r>
          <w:r>
            <w:instrText xml:space="preserve"> PAGEREF _Toc32032 \h </w:instrText>
          </w:r>
          <w:r>
            <w:fldChar w:fldCharType="separate"/>
          </w:r>
          <w:r>
            <w:t>67</w:t>
          </w:r>
          <w:r>
            <w:fldChar w:fldCharType="end"/>
          </w:r>
          <w:r>
            <w:fldChar w:fldCharType="end"/>
          </w:r>
        </w:p>
        <w:p w14:paraId="058C2BD1">
          <w:pPr>
            <w:pStyle w:val="10"/>
            <w:tabs>
              <w:tab w:val="right" w:leader="dot" w:pos="9026"/>
            </w:tabs>
          </w:pPr>
          <w:r>
            <w:fldChar w:fldCharType="begin"/>
          </w:r>
          <w:r>
            <w:instrText xml:space="preserve"> HYPERLINK \l _Toc8035 </w:instrText>
          </w:r>
          <w:r>
            <w:fldChar w:fldCharType="separate"/>
          </w:r>
          <w:r>
            <w:rPr>
              <w:rFonts w:ascii="黑体" w:hAnsi="黑体" w:eastAsia="黑体" w:cs="黑体"/>
              <w:bCs/>
              <w:szCs w:val="32"/>
            </w:rPr>
            <w:t>第 8 章  文化遗产旅游活化理论</w:t>
          </w:r>
          <w:r>
            <w:tab/>
          </w:r>
          <w:r>
            <w:fldChar w:fldCharType="begin"/>
          </w:r>
          <w:r>
            <w:instrText xml:space="preserve"> PAGEREF _Toc8035 \h </w:instrText>
          </w:r>
          <w:r>
            <w:fldChar w:fldCharType="separate"/>
          </w:r>
          <w:r>
            <w:t>68</w:t>
          </w:r>
          <w:r>
            <w:fldChar w:fldCharType="end"/>
          </w:r>
          <w:r>
            <w:fldChar w:fldCharType="end"/>
          </w:r>
        </w:p>
        <w:p w14:paraId="2B415033">
          <w:pPr>
            <w:pStyle w:val="12"/>
            <w:tabs>
              <w:tab w:val="right" w:leader="dot" w:pos="9026"/>
            </w:tabs>
          </w:pPr>
          <w:r>
            <w:fldChar w:fldCharType="begin"/>
          </w:r>
          <w:r>
            <w:instrText xml:space="preserve"> HYPERLINK \l _Toc3135 </w:instrText>
          </w:r>
          <w:r>
            <w:fldChar w:fldCharType="separate"/>
          </w:r>
          <w:r>
            <w:rPr>
              <w:rFonts w:ascii="黑体" w:hAnsi="黑体" w:eastAsia="黑体" w:cs="黑体"/>
              <w:bCs/>
              <w:szCs w:val="28"/>
            </w:rPr>
            <w:t>学习目标</w:t>
          </w:r>
          <w:r>
            <w:tab/>
          </w:r>
          <w:r>
            <w:fldChar w:fldCharType="begin"/>
          </w:r>
          <w:r>
            <w:instrText xml:space="preserve"> PAGEREF _Toc3135 \h </w:instrText>
          </w:r>
          <w:r>
            <w:fldChar w:fldCharType="separate"/>
          </w:r>
          <w:r>
            <w:t>68</w:t>
          </w:r>
          <w:r>
            <w:fldChar w:fldCharType="end"/>
          </w:r>
          <w:r>
            <w:fldChar w:fldCharType="end"/>
          </w:r>
        </w:p>
        <w:p w14:paraId="65BB616C">
          <w:pPr>
            <w:pStyle w:val="12"/>
            <w:tabs>
              <w:tab w:val="right" w:leader="dot" w:pos="9026"/>
            </w:tabs>
          </w:pPr>
          <w:r>
            <w:fldChar w:fldCharType="begin"/>
          </w:r>
          <w:r>
            <w:instrText xml:space="preserve"> HYPERLINK \l _Toc13873 </w:instrText>
          </w:r>
          <w:r>
            <w:fldChar w:fldCharType="separate"/>
          </w:r>
          <w:r>
            <w:rPr>
              <w:rFonts w:ascii="黑体" w:hAnsi="黑体" w:eastAsia="黑体" w:cs="黑体"/>
              <w:bCs/>
              <w:szCs w:val="28"/>
            </w:rPr>
            <w:t>导入案例：天龙屯堡的两种"活法"</w:t>
          </w:r>
          <w:r>
            <w:tab/>
          </w:r>
          <w:r>
            <w:fldChar w:fldCharType="begin"/>
          </w:r>
          <w:r>
            <w:instrText xml:space="preserve"> PAGEREF _Toc13873 \h </w:instrText>
          </w:r>
          <w:r>
            <w:fldChar w:fldCharType="separate"/>
          </w:r>
          <w:r>
            <w:t>68</w:t>
          </w:r>
          <w:r>
            <w:fldChar w:fldCharType="end"/>
          </w:r>
          <w:r>
            <w:fldChar w:fldCharType="end"/>
          </w:r>
        </w:p>
        <w:p w14:paraId="3A1511B4">
          <w:pPr>
            <w:pStyle w:val="12"/>
            <w:tabs>
              <w:tab w:val="right" w:leader="dot" w:pos="9026"/>
            </w:tabs>
          </w:pPr>
          <w:r>
            <w:fldChar w:fldCharType="begin"/>
          </w:r>
          <w:r>
            <w:instrText xml:space="preserve"> HYPERLINK \l _Toc25727 </w:instrText>
          </w:r>
          <w:r>
            <w:fldChar w:fldCharType="separate"/>
          </w:r>
          <w:r>
            <w:rPr>
              <w:rFonts w:ascii="黑体" w:hAnsi="黑体" w:eastAsia="黑体" w:cs="黑体"/>
              <w:bCs/>
              <w:szCs w:val="28"/>
            </w:rPr>
            <w:t>8.1 文化遗产"活化"的概念与理论</w:t>
          </w:r>
          <w:r>
            <w:tab/>
          </w:r>
          <w:r>
            <w:fldChar w:fldCharType="begin"/>
          </w:r>
          <w:r>
            <w:instrText xml:space="preserve"> PAGEREF _Toc25727 \h </w:instrText>
          </w:r>
          <w:r>
            <w:fldChar w:fldCharType="separate"/>
          </w:r>
          <w:r>
            <w:t>68</w:t>
          </w:r>
          <w:r>
            <w:fldChar w:fldCharType="end"/>
          </w:r>
          <w:r>
            <w:fldChar w:fldCharType="end"/>
          </w:r>
        </w:p>
        <w:p w14:paraId="79E930E8">
          <w:pPr>
            <w:pStyle w:val="8"/>
            <w:tabs>
              <w:tab w:val="right" w:leader="dot" w:pos="9026"/>
            </w:tabs>
          </w:pPr>
          <w:r>
            <w:fldChar w:fldCharType="begin"/>
          </w:r>
          <w:r>
            <w:instrText xml:space="preserve"> HYPERLINK \l _Toc7191 </w:instrText>
          </w:r>
          <w:r>
            <w:fldChar w:fldCharType="separate"/>
          </w:r>
          <w:r>
            <w:rPr>
              <w:rFonts w:ascii="黑体" w:hAnsi="黑体" w:eastAsia="黑体" w:cs="黑体"/>
              <w:bCs/>
              <w:szCs w:val="26"/>
            </w:rPr>
            <w:t>8.1.1 "活化"概念辨析</w:t>
          </w:r>
          <w:r>
            <w:tab/>
          </w:r>
          <w:r>
            <w:fldChar w:fldCharType="begin"/>
          </w:r>
          <w:r>
            <w:instrText xml:space="preserve"> PAGEREF _Toc7191 \h </w:instrText>
          </w:r>
          <w:r>
            <w:fldChar w:fldCharType="separate"/>
          </w:r>
          <w:r>
            <w:t>68</w:t>
          </w:r>
          <w:r>
            <w:fldChar w:fldCharType="end"/>
          </w:r>
          <w:r>
            <w:fldChar w:fldCharType="end"/>
          </w:r>
        </w:p>
        <w:p w14:paraId="2138A420">
          <w:pPr>
            <w:pStyle w:val="8"/>
            <w:tabs>
              <w:tab w:val="right" w:leader="dot" w:pos="9026"/>
            </w:tabs>
          </w:pPr>
          <w:r>
            <w:fldChar w:fldCharType="begin"/>
          </w:r>
          <w:r>
            <w:instrText xml:space="preserve"> HYPERLINK \l _Toc6396 </w:instrText>
          </w:r>
          <w:r>
            <w:fldChar w:fldCharType="separate"/>
          </w:r>
          <w:r>
            <w:rPr>
              <w:rFonts w:ascii="黑体" w:hAnsi="黑体" w:eastAsia="黑体" w:cs="黑体"/>
              <w:bCs/>
              <w:szCs w:val="26"/>
            </w:rPr>
            <w:t>8.1.2 理论基础</w:t>
          </w:r>
          <w:r>
            <w:tab/>
          </w:r>
          <w:r>
            <w:fldChar w:fldCharType="begin"/>
          </w:r>
          <w:r>
            <w:instrText xml:space="preserve"> PAGEREF _Toc6396 \h </w:instrText>
          </w:r>
          <w:r>
            <w:fldChar w:fldCharType="separate"/>
          </w:r>
          <w:r>
            <w:t>69</w:t>
          </w:r>
          <w:r>
            <w:fldChar w:fldCharType="end"/>
          </w:r>
          <w:r>
            <w:fldChar w:fldCharType="end"/>
          </w:r>
        </w:p>
        <w:p w14:paraId="2FF89801">
          <w:pPr>
            <w:pStyle w:val="12"/>
            <w:tabs>
              <w:tab w:val="right" w:leader="dot" w:pos="9026"/>
            </w:tabs>
          </w:pPr>
          <w:r>
            <w:fldChar w:fldCharType="begin"/>
          </w:r>
          <w:r>
            <w:instrText xml:space="preserve"> HYPERLINK \l _Toc13750 </w:instrText>
          </w:r>
          <w:r>
            <w:fldChar w:fldCharType="separate"/>
          </w:r>
          <w:r>
            <w:rPr>
              <w:rFonts w:ascii="黑体" w:hAnsi="黑体" w:eastAsia="黑体" w:cs="黑体"/>
              <w:bCs/>
              <w:szCs w:val="28"/>
            </w:rPr>
            <w:t>8.2 文化遗产旅游活化的主要模式</w:t>
          </w:r>
          <w:r>
            <w:tab/>
          </w:r>
          <w:r>
            <w:fldChar w:fldCharType="begin"/>
          </w:r>
          <w:r>
            <w:instrText xml:space="preserve"> PAGEREF _Toc13750 \h </w:instrText>
          </w:r>
          <w:r>
            <w:fldChar w:fldCharType="separate"/>
          </w:r>
          <w:r>
            <w:t>69</w:t>
          </w:r>
          <w:r>
            <w:fldChar w:fldCharType="end"/>
          </w:r>
          <w:r>
            <w:fldChar w:fldCharType="end"/>
          </w:r>
        </w:p>
        <w:p w14:paraId="71600D8E">
          <w:pPr>
            <w:pStyle w:val="8"/>
            <w:tabs>
              <w:tab w:val="right" w:leader="dot" w:pos="9026"/>
            </w:tabs>
          </w:pPr>
          <w:r>
            <w:fldChar w:fldCharType="begin"/>
          </w:r>
          <w:r>
            <w:instrText xml:space="preserve"> HYPERLINK \l _Toc27131 </w:instrText>
          </w:r>
          <w:r>
            <w:fldChar w:fldCharType="separate"/>
          </w:r>
          <w:r>
            <w:rPr>
              <w:rFonts w:ascii="黑体" w:hAnsi="黑体" w:eastAsia="黑体" w:cs="黑体"/>
              <w:bCs/>
              <w:szCs w:val="26"/>
            </w:rPr>
            <w:t>8.2.1 博物馆化模式</w:t>
          </w:r>
          <w:r>
            <w:tab/>
          </w:r>
          <w:r>
            <w:fldChar w:fldCharType="begin"/>
          </w:r>
          <w:r>
            <w:instrText xml:space="preserve"> PAGEREF _Toc27131 \h </w:instrText>
          </w:r>
          <w:r>
            <w:fldChar w:fldCharType="separate"/>
          </w:r>
          <w:r>
            <w:t>69</w:t>
          </w:r>
          <w:r>
            <w:fldChar w:fldCharType="end"/>
          </w:r>
          <w:r>
            <w:fldChar w:fldCharType="end"/>
          </w:r>
        </w:p>
        <w:p w14:paraId="56B707CB">
          <w:pPr>
            <w:pStyle w:val="8"/>
            <w:tabs>
              <w:tab w:val="right" w:leader="dot" w:pos="9026"/>
            </w:tabs>
          </w:pPr>
          <w:r>
            <w:fldChar w:fldCharType="begin"/>
          </w:r>
          <w:r>
            <w:instrText xml:space="preserve"> HYPERLINK \l _Toc8128 </w:instrText>
          </w:r>
          <w:r>
            <w:fldChar w:fldCharType="separate"/>
          </w:r>
          <w:r>
            <w:rPr>
              <w:rFonts w:ascii="黑体" w:hAnsi="黑体" w:eastAsia="黑体" w:cs="黑体"/>
              <w:bCs/>
              <w:szCs w:val="26"/>
            </w:rPr>
            <w:t>8.2.2 景区化模式</w:t>
          </w:r>
          <w:r>
            <w:tab/>
          </w:r>
          <w:r>
            <w:fldChar w:fldCharType="begin"/>
          </w:r>
          <w:r>
            <w:instrText xml:space="preserve"> PAGEREF _Toc8128 \h </w:instrText>
          </w:r>
          <w:r>
            <w:fldChar w:fldCharType="separate"/>
          </w:r>
          <w:r>
            <w:t>70</w:t>
          </w:r>
          <w:r>
            <w:fldChar w:fldCharType="end"/>
          </w:r>
          <w:r>
            <w:fldChar w:fldCharType="end"/>
          </w:r>
        </w:p>
        <w:p w14:paraId="125F5595">
          <w:pPr>
            <w:pStyle w:val="8"/>
            <w:tabs>
              <w:tab w:val="right" w:leader="dot" w:pos="9026"/>
            </w:tabs>
          </w:pPr>
          <w:r>
            <w:fldChar w:fldCharType="begin"/>
          </w:r>
          <w:r>
            <w:instrText xml:space="preserve"> HYPERLINK \l _Toc28898 </w:instrText>
          </w:r>
          <w:r>
            <w:fldChar w:fldCharType="separate"/>
          </w:r>
          <w:r>
            <w:rPr>
              <w:rFonts w:ascii="黑体" w:hAnsi="黑体" w:eastAsia="黑体" w:cs="黑体"/>
              <w:bCs/>
              <w:szCs w:val="26"/>
            </w:rPr>
            <w:t>8.2.3 社区化模式</w:t>
          </w:r>
          <w:r>
            <w:tab/>
          </w:r>
          <w:r>
            <w:fldChar w:fldCharType="begin"/>
          </w:r>
          <w:r>
            <w:instrText xml:space="preserve"> PAGEREF _Toc28898 \h </w:instrText>
          </w:r>
          <w:r>
            <w:fldChar w:fldCharType="separate"/>
          </w:r>
          <w:r>
            <w:t>70</w:t>
          </w:r>
          <w:r>
            <w:fldChar w:fldCharType="end"/>
          </w:r>
          <w:r>
            <w:fldChar w:fldCharType="end"/>
          </w:r>
        </w:p>
        <w:p w14:paraId="4EA2959B">
          <w:pPr>
            <w:pStyle w:val="8"/>
            <w:tabs>
              <w:tab w:val="right" w:leader="dot" w:pos="9026"/>
            </w:tabs>
          </w:pPr>
          <w:r>
            <w:fldChar w:fldCharType="begin"/>
          </w:r>
          <w:r>
            <w:instrText xml:space="preserve"> HYPERLINK \l _Toc10136 </w:instrText>
          </w:r>
          <w:r>
            <w:fldChar w:fldCharType="separate"/>
          </w:r>
          <w:r>
            <w:rPr>
              <w:rFonts w:ascii="黑体" w:hAnsi="黑体" w:eastAsia="黑体" w:cs="黑体"/>
              <w:bCs/>
              <w:szCs w:val="26"/>
            </w:rPr>
            <w:t>8.2.4 数字化模式</w:t>
          </w:r>
          <w:r>
            <w:tab/>
          </w:r>
          <w:r>
            <w:fldChar w:fldCharType="begin"/>
          </w:r>
          <w:r>
            <w:instrText xml:space="preserve"> PAGEREF _Toc10136 \h </w:instrText>
          </w:r>
          <w:r>
            <w:fldChar w:fldCharType="separate"/>
          </w:r>
          <w:r>
            <w:t>70</w:t>
          </w:r>
          <w:r>
            <w:fldChar w:fldCharType="end"/>
          </w:r>
          <w:r>
            <w:fldChar w:fldCharType="end"/>
          </w:r>
        </w:p>
        <w:p w14:paraId="62CE8605">
          <w:pPr>
            <w:pStyle w:val="8"/>
            <w:tabs>
              <w:tab w:val="right" w:leader="dot" w:pos="9026"/>
            </w:tabs>
          </w:pPr>
          <w:r>
            <w:fldChar w:fldCharType="begin"/>
          </w:r>
          <w:r>
            <w:instrText xml:space="preserve"> HYPERLINK \l _Toc16596 </w:instrText>
          </w:r>
          <w:r>
            <w:fldChar w:fldCharType="separate"/>
          </w:r>
          <w:r>
            <w:rPr>
              <w:rFonts w:ascii="黑体" w:hAnsi="黑体" w:eastAsia="黑体" w:cs="黑体"/>
              <w:bCs/>
              <w:szCs w:val="26"/>
            </w:rPr>
            <w:t>8.2.5 融合模式</w:t>
          </w:r>
          <w:r>
            <w:tab/>
          </w:r>
          <w:r>
            <w:fldChar w:fldCharType="begin"/>
          </w:r>
          <w:r>
            <w:instrText xml:space="preserve"> PAGEREF _Toc16596 \h </w:instrText>
          </w:r>
          <w:r>
            <w:fldChar w:fldCharType="separate"/>
          </w:r>
          <w:r>
            <w:t>70</w:t>
          </w:r>
          <w:r>
            <w:fldChar w:fldCharType="end"/>
          </w:r>
          <w:r>
            <w:fldChar w:fldCharType="end"/>
          </w:r>
        </w:p>
        <w:p w14:paraId="65857EEC">
          <w:pPr>
            <w:pStyle w:val="12"/>
            <w:tabs>
              <w:tab w:val="right" w:leader="dot" w:pos="9026"/>
            </w:tabs>
          </w:pPr>
          <w:r>
            <w:fldChar w:fldCharType="begin"/>
          </w:r>
          <w:r>
            <w:instrText xml:space="preserve"> HYPERLINK \l _Toc18935 </w:instrText>
          </w:r>
          <w:r>
            <w:fldChar w:fldCharType="separate"/>
          </w:r>
          <w:r>
            <w:rPr>
              <w:rFonts w:ascii="黑体" w:hAnsi="黑体" w:eastAsia="黑体" w:cs="黑体"/>
              <w:bCs/>
              <w:szCs w:val="28"/>
            </w:rPr>
            <w:t>8.3 屯堡文化旅游活化的现状分析</w:t>
          </w:r>
          <w:r>
            <w:tab/>
          </w:r>
          <w:r>
            <w:fldChar w:fldCharType="begin"/>
          </w:r>
          <w:r>
            <w:instrText xml:space="preserve"> PAGEREF _Toc18935 \h </w:instrText>
          </w:r>
          <w:r>
            <w:fldChar w:fldCharType="separate"/>
          </w:r>
          <w:r>
            <w:t>70</w:t>
          </w:r>
          <w:r>
            <w:fldChar w:fldCharType="end"/>
          </w:r>
          <w:r>
            <w:fldChar w:fldCharType="end"/>
          </w:r>
        </w:p>
        <w:p w14:paraId="664C038A">
          <w:pPr>
            <w:pStyle w:val="8"/>
            <w:tabs>
              <w:tab w:val="right" w:leader="dot" w:pos="9026"/>
            </w:tabs>
          </w:pPr>
          <w:r>
            <w:fldChar w:fldCharType="begin"/>
          </w:r>
          <w:r>
            <w:instrText xml:space="preserve"> HYPERLINK \l _Toc18752 </w:instrText>
          </w:r>
          <w:r>
            <w:fldChar w:fldCharType="separate"/>
          </w:r>
          <w:r>
            <w:rPr>
              <w:rFonts w:ascii="黑体" w:hAnsi="黑体" w:eastAsia="黑体" w:cs="黑体"/>
              <w:bCs/>
              <w:szCs w:val="26"/>
            </w:rPr>
            <w:t>8.3.1 发展历程</w:t>
          </w:r>
          <w:r>
            <w:tab/>
          </w:r>
          <w:r>
            <w:fldChar w:fldCharType="begin"/>
          </w:r>
          <w:r>
            <w:instrText xml:space="preserve"> PAGEREF _Toc18752 \h </w:instrText>
          </w:r>
          <w:r>
            <w:fldChar w:fldCharType="separate"/>
          </w:r>
          <w:r>
            <w:t>70</w:t>
          </w:r>
          <w:r>
            <w:fldChar w:fldCharType="end"/>
          </w:r>
          <w:r>
            <w:fldChar w:fldCharType="end"/>
          </w:r>
        </w:p>
        <w:p w14:paraId="208256BA">
          <w:pPr>
            <w:pStyle w:val="8"/>
            <w:tabs>
              <w:tab w:val="right" w:leader="dot" w:pos="9026"/>
            </w:tabs>
          </w:pPr>
          <w:r>
            <w:fldChar w:fldCharType="begin"/>
          </w:r>
          <w:r>
            <w:instrText xml:space="preserve"> HYPERLINK \l _Toc29165 </w:instrText>
          </w:r>
          <w:r>
            <w:fldChar w:fldCharType="separate"/>
          </w:r>
          <w:r>
            <w:rPr>
              <w:rFonts w:ascii="黑体" w:hAnsi="黑体" w:eastAsia="黑体" w:cs="黑体"/>
              <w:bCs/>
              <w:szCs w:val="26"/>
            </w:rPr>
            <w:t>8.3.2 主要成效</w:t>
          </w:r>
          <w:r>
            <w:tab/>
          </w:r>
          <w:r>
            <w:fldChar w:fldCharType="begin"/>
          </w:r>
          <w:r>
            <w:instrText xml:space="preserve"> PAGEREF _Toc29165 \h </w:instrText>
          </w:r>
          <w:r>
            <w:fldChar w:fldCharType="separate"/>
          </w:r>
          <w:r>
            <w:t>71</w:t>
          </w:r>
          <w:r>
            <w:fldChar w:fldCharType="end"/>
          </w:r>
          <w:r>
            <w:fldChar w:fldCharType="end"/>
          </w:r>
        </w:p>
        <w:p w14:paraId="4D02627D">
          <w:pPr>
            <w:pStyle w:val="8"/>
            <w:tabs>
              <w:tab w:val="right" w:leader="dot" w:pos="9026"/>
            </w:tabs>
          </w:pPr>
          <w:r>
            <w:fldChar w:fldCharType="begin"/>
          </w:r>
          <w:r>
            <w:instrText xml:space="preserve"> HYPERLINK \l _Toc8796 </w:instrText>
          </w:r>
          <w:r>
            <w:fldChar w:fldCharType="separate"/>
          </w:r>
          <w:r>
            <w:rPr>
              <w:rFonts w:ascii="黑体" w:hAnsi="黑体" w:eastAsia="黑体" w:cs="黑体"/>
              <w:bCs/>
              <w:szCs w:val="26"/>
            </w:rPr>
            <w:t>8.3.3 存在的主要问题</w:t>
          </w:r>
          <w:r>
            <w:tab/>
          </w:r>
          <w:r>
            <w:fldChar w:fldCharType="begin"/>
          </w:r>
          <w:r>
            <w:instrText xml:space="preserve"> PAGEREF _Toc8796 \h </w:instrText>
          </w:r>
          <w:r>
            <w:fldChar w:fldCharType="separate"/>
          </w:r>
          <w:r>
            <w:t>71</w:t>
          </w:r>
          <w:r>
            <w:fldChar w:fldCharType="end"/>
          </w:r>
          <w:r>
            <w:fldChar w:fldCharType="end"/>
          </w:r>
        </w:p>
        <w:p w14:paraId="21089E30">
          <w:pPr>
            <w:pStyle w:val="12"/>
            <w:tabs>
              <w:tab w:val="right" w:leader="dot" w:pos="9026"/>
            </w:tabs>
          </w:pPr>
          <w:r>
            <w:fldChar w:fldCharType="begin"/>
          </w:r>
          <w:r>
            <w:instrText xml:space="preserve"> HYPERLINK \l _Toc25661 </w:instrText>
          </w:r>
          <w:r>
            <w:fldChar w:fldCharType="separate"/>
          </w:r>
          <w:r>
            <w:rPr>
              <w:rFonts w:ascii="黑体" w:hAnsi="黑体" w:eastAsia="黑体" w:cs="黑体"/>
              <w:bCs/>
              <w:szCs w:val="28"/>
            </w:rPr>
            <w:t>8.4 屯堡文化旅游活化的策略框架</w:t>
          </w:r>
          <w:r>
            <w:tab/>
          </w:r>
          <w:r>
            <w:fldChar w:fldCharType="begin"/>
          </w:r>
          <w:r>
            <w:instrText xml:space="preserve"> PAGEREF _Toc25661 \h </w:instrText>
          </w:r>
          <w:r>
            <w:fldChar w:fldCharType="separate"/>
          </w:r>
          <w:r>
            <w:t>71</w:t>
          </w:r>
          <w:r>
            <w:fldChar w:fldCharType="end"/>
          </w:r>
          <w:r>
            <w:fldChar w:fldCharType="end"/>
          </w:r>
        </w:p>
        <w:p w14:paraId="1EB67182">
          <w:pPr>
            <w:pStyle w:val="8"/>
            <w:tabs>
              <w:tab w:val="right" w:leader="dot" w:pos="9026"/>
            </w:tabs>
          </w:pPr>
          <w:r>
            <w:fldChar w:fldCharType="begin"/>
          </w:r>
          <w:r>
            <w:instrText xml:space="preserve"> HYPERLINK \l _Toc31869 </w:instrText>
          </w:r>
          <w:r>
            <w:fldChar w:fldCharType="separate"/>
          </w:r>
          <w:r>
            <w:rPr>
              <w:rFonts w:ascii="黑体" w:hAnsi="黑体" w:eastAsia="黑体" w:cs="黑体"/>
              <w:bCs/>
              <w:szCs w:val="26"/>
            </w:rPr>
            <w:t>8.4.1 "一村一品"差异化定位</w:t>
          </w:r>
          <w:r>
            <w:tab/>
          </w:r>
          <w:r>
            <w:fldChar w:fldCharType="begin"/>
          </w:r>
          <w:r>
            <w:instrText xml:space="preserve"> PAGEREF _Toc31869 \h </w:instrText>
          </w:r>
          <w:r>
            <w:fldChar w:fldCharType="separate"/>
          </w:r>
          <w:r>
            <w:t>72</w:t>
          </w:r>
          <w:r>
            <w:fldChar w:fldCharType="end"/>
          </w:r>
          <w:r>
            <w:fldChar w:fldCharType="end"/>
          </w:r>
        </w:p>
        <w:p w14:paraId="4F8BE15C">
          <w:pPr>
            <w:pStyle w:val="8"/>
            <w:tabs>
              <w:tab w:val="right" w:leader="dot" w:pos="9026"/>
            </w:tabs>
          </w:pPr>
          <w:r>
            <w:fldChar w:fldCharType="begin"/>
          </w:r>
          <w:r>
            <w:instrText xml:space="preserve"> HYPERLINK \l _Toc21445 </w:instrText>
          </w:r>
          <w:r>
            <w:fldChar w:fldCharType="separate"/>
          </w:r>
          <w:r>
            <w:rPr>
              <w:rFonts w:ascii="黑体" w:hAnsi="黑体" w:eastAsia="黑体" w:cs="黑体"/>
              <w:bCs/>
              <w:szCs w:val="26"/>
            </w:rPr>
            <w:t>8.4.2 产品体系设计</w:t>
          </w:r>
          <w:r>
            <w:tab/>
          </w:r>
          <w:r>
            <w:fldChar w:fldCharType="begin"/>
          </w:r>
          <w:r>
            <w:instrText xml:space="preserve"> PAGEREF _Toc21445 \h </w:instrText>
          </w:r>
          <w:r>
            <w:fldChar w:fldCharType="separate"/>
          </w:r>
          <w:r>
            <w:t>72</w:t>
          </w:r>
          <w:r>
            <w:fldChar w:fldCharType="end"/>
          </w:r>
          <w:r>
            <w:fldChar w:fldCharType="end"/>
          </w:r>
        </w:p>
        <w:p w14:paraId="4372A7B6">
          <w:pPr>
            <w:pStyle w:val="8"/>
            <w:tabs>
              <w:tab w:val="right" w:leader="dot" w:pos="9026"/>
            </w:tabs>
          </w:pPr>
          <w:r>
            <w:fldChar w:fldCharType="begin"/>
          </w:r>
          <w:r>
            <w:instrText xml:space="preserve"> HYPERLINK \l _Toc197 </w:instrText>
          </w:r>
          <w:r>
            <w:fldChar w:fldCharType="separate"/>
          </w:r>
          <w:r>
            <w:rPr>
              <w:rFonts w:ascii="黑体" w:hAnsi="黑体" w:eastAsia="黑体" w:cs="黑体"/>
              <w:bCs/>
              <w:szCs w:val="26"/>
            </w:rPr>
            <w:t>8.4.3 游客体验设计</w:t>
          </w:r>
          <w:r>
            <w:tab/>
          </w:r>
          <w:r>
            <w:fldChar w:fldCharType="begin"/>
          </w:r>
          <w:r>
            <w:instrText xml:space="preserve"> PAGEREF _Toc197 \h </w:instrText>
          </w:r>
          <w:r>
            <w:fldChar w:fldCharType="separate"/>
          </w:r>
          <w:r>
            <w:t>72</w:t>
          </w:r>
          <w:r>
            <w:fldChar w:fldCharType="end"/>
          </w:r>
          <w:r>
            <w:fldChar w:fldCharType="end"/>
          </w:r>
        </w:p>
        <w:p w14:paraId="6D2DF694">
          <w:pPr>
            <w:pStyle w:val="8"/>
            <w:tabs>
              <w:tab w:val="right" w:leader="dot" w:pos="9026"/>
            </w:tabs>
          </w:pPr>
          <w:r>
            <w:fldChar w:fldCharType="begin"/>
          </w:r>
          <w:r>
            <w:instrText xml:space="preserve"> HYPERLINK \l _Toc26732 </w:instrText>
          </w:r>
          <w:r>
            <w:fldChar w:fldCharType="separate"/>
          </w:r>
          <w:r>
            <w:rPr>
              <w:rFonts w:ascii="黑体" w:hAnsi="黑体" w:eastAsia="黑体" w:cs="黑体"/>
              <w:bCs/>
              <w:szCs w:val="26"/>
            </w:rPr>
            <w:t>8.4.4 社区参与机制</w:t>
          </w:r>
          <w:r>
            <w:tab/>
          </w:r>
          <w:r>
            <w:fldChar w:fldCharType="begin"/>
          </w:r>
          <w:r>
            <w:instrText xml:space="preserve"> PAGEREF _Toc26732 \h </w:instrText>
          </w:r>
          <w:r>
            <w:fldChar w:fldCharType="separate"/>
          </w:r>
          <w:r>
            <w:t>73</w:t>
          </w:r>
          <w:r>
            <w:fldChar w:fldCharType="end"/>
          </w:r>
          <w:r>
            <w:fldChar w:fldCharType="end"/>
          </w:r>
        </w:p>
        <w:p w14:paraId="7F3EBDD5">
          <w:pPr>
            <w:pStyle w:val="12"/>
            <w:tabs>
              <w:tab w:val="right" w:leader="dot" w:pos="9026"/>
            </w:tabs>
          </w:pPr>
          <w:r>
            <w:fldChar w:fldCharType="begin"/>
          </w:r>
          <w:r>
            <w:instrText xml:space="preserve"> HYPERLINK \l _Toc4081 </w:instrText>
          </w:r>
          <w:r>
            <w:fldChar w:fldCharType="separate"/>
          </w:r>
          <w:r>
            <w:rPr>
              <w:rFonts w:ascii="黑体" w:hAnsi="黑体" w:eastAsia="黑体" w:cs="黑体"/>
              <w:bCs/>
              <w:szCs w:val="28"/>
            </w:rPr>
            <w:t>8.5 评估与监测</w:t>
          </w:r>
          <w:r>
            <w:tab/>
          </w:r>
          <w:r>
            <w:fldChar w:fldCharType="begin"/>
          </w:r>
          <w:r>
            <w:instrText xml:space="preserve"> PAGEREF _Toc4081 \h </w:instrText>
          </w:r>
          <w:r>
            <w:fldChar w:fldCharType="separate"/>
          </w:r>
          <w:r>
            <w:t>73</w:t>
          </w:r>
          <w:r>
            <w:fldChar w:fldCharType="end"/>
          </w:r>
          <w:r>
            <w:fldChar w:fldCharType="end"/>
          </w:r>
        </w:p>
        <w:p w14:paraId="48B6EF06">
          <w:pPr>
            <w:pStyle w:val="8"/>
            <w:tabs>
              <w:tab w:val="right" w:leader="dot" w:pos="9026"/>
            </w:tabs>
          </w:pPr>
          <w:r>
            <w:fldChar w:fldCharType="begin"/>
          </w:r>
          <w:r>
            <w:instrText xml:space="preserve"> HYPERLINK \l _Toc16041 </w:instrText>
          </w:r>
          <w:r>
            <w:fldChar w:fldCharType="separate"/>
          </w:r>
          <w:r>
            <w:rPr>
              <w:rFonts w:ascii="黑体" w:hAnsi="黑体" w:eastAsia="黑体" w:cs="黑体"/>
              <w:bCs/>
              <w:szCs w:val="26"/>
            </w:rPr>
            <w:t>8.5.1 旅游活化成效评估指标</w:t>
          </w:r>
          <w:r>
            <w:tab/>
          </w:r>
          <w:r>
            <w:fldChar w:fldCharType="begin"/>
          </w:r>
          <w:r>
            <w:instrText xml:space="preserve"> PAGEREF _Toc16041 \h </w:instrText>
          </w:r>
          <w:r>
            <w:fldChar w:fldCharType="separate"/>
          </w:r>
          <w:r>
            <w:t>73</w:t>
          </w:r>
          <w:r>
            <w:fldChar w:fldCharType="end"/>
          </w:r>
          <w:r>
            <w:fldChar w:fldCharType="end"/>
          </w:r>
        </w:p>
        <w:p w14:paraId="5CC3C0F3">
          <w:pPr>
            <w:pStyle w:val="8"/>
            <w:tabs>
              <w:tab w:val="right" w:leader="dot" w:pos="9026"/>
            </w:tabs>
          </w:pPr>
          <w:r>
            <w:fldChar w:fldCharType="begin"/>
          </w:r>
          <w:r>
            <w:instrText xml:space="preserve"> HYPERLINK \l _Toc16540 </w:instrText>
          </w:r>
          <w:r>
            <w:fldChar w:fldCharType="separate"/>
          </w:r>
          <w:r>
            <w:rPr>
              <w:rFonts w:ascii="黑体" w:hAnsi="黑体" w:eastAsia="黑体" w:cs="黑体"/>
              <w:bCs/>
              <w:szCs w:val="26"/>
            </w:rPr>
            <w:t>8.5.2 动态监测与预警</w:t>
          </w:r>
          <w:r>
            <w:tab/>
          </w:r>
          <w:r>
            <w:fldChar w:fldCharType="begin"/>
          </w:r>
          <w:r>
            <w:instrText xml:space="preserve"> PAGEREF _Toc16540 \h </w:instrText>
          </w:r>
          <w:r>
            <w:fldChar w:fldCharType="separate"/>
          </w:r>
          <w:r>
            <w:t>74</w:t>
          </w:r>
          <w:r>
            <w:fldChar w:fldCharType="end"/>
          </w:r>
          <w:r>
            <w:fldChar w:fldCharType="end"/>
          </w:r>
        </w:p>
        <w:p w14:paraId="26924691">
          <w:pPr>
            <w:pStyle w:val="12"/>
            <w:tabs>
              <w:tab w:val="right" w:leader="dot" w:pos="9026"/>
            </w:tabs>
          </w:pPr>
          <w:r>
            <w:fldChar w:fldCharType="begin"/>
          </w:r>
          <w:r>
            <w:instrText xml:space="preserve"> HYPERLINK \l _Toc22176 </w:instrText>
          </w:r>
          <w:r>
            <w:fldChar w:fldCharType="separate"/>
          </w:r>
          <w:r>
            <w:rPr>
              <w:rFonts w:ascii="黑体" w:hAnsi="黑体" w:eastAsia="黑体" w:cs="黑体"/>
              <w:bCs/>
              <w:szCs w:val="28"/>
            </w:rPr>
            <w:t>本章小结</w:t>
          </w:r>
          <w:r>
            <w:tab/>
          </w:r>
          <w:r>
            <w:fldChar w:fldCharType="begin"/>
          </w:r>
          <w:r>
            <w:instrText xml:space="preserve"> PAGEREF _Toc22176 \h </w:instrText>
          </w:r>
          <w:r>
            <w:fldChar w:fldCharType="separate"/>
          </w:r>
          <w:r>
            <w:t>74</w:t>
          </w:r>
          <w:r>
            <w:fldChar w:fldCharType="end"/>
          </w:r>
          <w:r>
            <w:fldChar w:fldCharType="end"/>
          </w:r>
        </w:p>
        <w:p w14:paraId="3BCCA740">
          <w:pPr>
            <w:pStyle w:val="12"/>
            <w:tabs>
              <w:tab w:val="right" w:leader="dot" w:pos="9026"/>
            </w:tabs>
          </w:pPr>
          <w:r>
            <w:fldChar w:fldCharType="begin"/>
          </w:r>
          <w:r>
            <w:instrText xml:space="preserve"> HYPERLINK \l _Toc11885 </w:instrText>
          </w:r>
          <w:r>
            <w:fldChar w:fldCharType="separate"/>
          </w:r>
          <w:r>
            <w:rPr>
              <w:rFonts w:ascii="黑体" w:hAnsi="黑体" w:eastAsia="黑体" w:cs="黑体"/>
              <w:bCs/>
              <w:szCs w:val="28"/>
            </w:rPr>
            <w:t>思考与练习</w:t>
          </w:r>
          <w:r>
            <w:tab/>
          </w:r>
          <w:r>
            <w:fldChar w:fldCharType="begin"/>
          </w:r>
          <w:r>
            <w:instrText xml:space="preserve"> PAGEREF _Toc11885 \h </w:instrText>
          </w:r>
          <w:r>
            <w:fldChar w:fldCharType="separate"/>
          </w:r>
          <w:r>
            <w:t>74</w:t>
          </w:r>
          <w:r>
            <w:fldChar w:fldCharType="end"/>
          </w:r>
          <w:r>
            <w:fldChar w:fldCharType="end"/>
          </w:r>
        </w:p>
        <w:p w14:paraId="66734242">
          <w:pPr>
            <w:pStyle w:val="12"/>
            <w:tabs>
              <w:tab w:val="right" w:leader="dot" w:pos="9026"/>
            </w:tabs>
          </w:pPr>
          <w:r>
            <w:fldChar w:fldCharType="begin"/>
          </w:r>
          <w:r>
            <w:instrText xml:space="preserve"> HYPERLINK \l _Toc20776 </w:instrText>
          </w:r>
          <w:r>
            <w:fldChar w:fldCharType="separate"/>
          </w:r>
          <w:r>
            <w:rPr>
              <w:rFonts w:ascii="黑体" w:hAnsi="黑体" w:eastAsia="黑体" w:cs="黑体"/>
              <w:bCs/>
              <w:szCs w:val="28"/>
            </w:rPr>
            <w:t>知识卡片：旅游活化模式对比</w:t>
          </w:r>
          <w:r>
            <w:tab/>
          </w:r>
          <w:r>
            <w:fldChar w:fldCharType="begin"/>
          </w:r>
          <w:r>
            <w:instrText xml:space="preserve"> PAGEREF _Toc20776 \h </w:instrText>
          </w:r>
          <w:r>
            <w:fldChar w:fldCharType="separate"/>
          </w:r>
          <w:r>
            <w:t>74</w:t>
          </w:r>
          <w:r>
            <w:fldChar w:fldCharType="end"/>
          </w:r>
          <w:r>
            <w:fldChar w:fldCharType="end"/>
          </w:r>
        </w:p>
        <w:p w14:paraId="27EB9377">
          <w:pPr>
            <w:pStyle w:val="10"/>
            <w:tabs>
              <w:tab w:val="right" w:leader="dot" w:pos="9026"/>
            </w:tabs>
          </w:pPr>
          <w:r>
            <w:fldChar w:fldCharType="begin"/>
          </w:r>
          <w:r>
            <w:instrText xml:space="preserve"> HYPERLINK \l _Toc17282 </w:instrText>
          </w:r>
          <w:r>
            <w:fldChar w:fldCharType="separate"/>
          </w:r>
          <w:r>
            <w:rPr>
              <w:rFonts w:ascii="黑体" w:hAnsi="黑体" w:eastAsia="黑体" w:cs="黑体"/>
              <w:bCs/>
              <w:szCs w:val="32"/>
            </w:rPr>
            <w:t>第 9 章  沉浸式屯堡体验设计</w:t>
          </w:r>
          <w:r>
            <w:tab/>
          </w:r>
          <w:r>
            <w:fldChar w:fldCharType="begin"/>
          </w:r>
          <w:r>
            <w:instrText xml:space="preserve"> PAGEREF _Toc17282 \h </w:instrText>
          </w:r>
          <w:r>
            <w:fldChar w:fldCharType="separate"/>
          </w:r>
          <w:r>
            <w:t>76</w:t>
          </w:r>
          <w:r>
            <w:fldChar w:fldCharType="end"/>
          </w:r>
          <w:r>
            <w:fldChar w:fldCharType="end"/>
          </w:r>
        </w:p>
        <w:p w14:paraId="66073A42">
          <w:pPr>
            <w:pStyle w:val="12"/>
            <w:tabs>
              <w:tab w:val="right" w:leader="dot" w:pos="9026"/>
            </w:tabs>
          </w:pPr>
          <w:r>
            <w:fldChar w:fldCharType="begin"/>
          </w:r>
          <w:r>
            <w:instrText xml:space="preserve"> HYPERLINK \l _Toc4610 </w:instrText>
          </w:r>
          <w:r>
            <w:fldChar w:fldCharType="separate"/>
          </w:r>
          <w:r>
            <w:rPr>
              <w:rFonts w:ascii="黑体" w:hAnsi="黑体" w:eastAsia="黑体" w:cs="黑体"/>
              <w:bCs/>
              <w:szCs w:val="28"/>
            </w:rPr>
            <w:t>学习目标</w:t>
          </w:r>
          <w:r>
            <w:tab/>
          </w:r>
          <w:r>
            <w:fldChar w:fldCharType="begin"/>
          </w:r>
          <w:r>
            <w:instrText xml:space="preserve"> PAGEREF _Toc4610 \h </w:instrText>
          </w:r>
          <w:r>
            <w:fldChar w:fldCharType="separate"/>
          </w:r>
          <w:r>
            <w:t>76</w:t>
          </w:r>
          <w:r>
            <w:fldChar w:fldCharType="end"/>
          </w:r>
          <w:r>
            <w:fldChar w:fldCharType="end"/>
          </w:r>
        </w:p>
        <w:p w14:paraId="0CADABB1">
          <w:pPr>
            <w:pStyle w:val="12"/>
            <w:tabs>
              <w:tab w:val="right" w:leader="dot" w:pos="9026"/>
            </w:tabs>
          </w:pPr>
          <w:r>
            <w:fldChar w:fldCharType="begin"/>
          </w:r>
          <w:r>
            <w:instrText xml:space="preserve"> HYPERLINK \l _Toc22091 </w:instrText>
          </w:r>
          <w:r>
            <w:fldChar w:fldCharType="separate"/>
          </w:r>
          <w:r>
            <w:rPr>
              <w:rFonts w:ascii="黑体" w:hAnsi="黑体" w:eastAsia="黑体" w:cs="黑体"/>
              <w:bCs/>
              <w:szCs w:val="28"/>
            </w:rPr>
            <w:t>导入案例：在地戏里"穿越"六百年</w:t>
          </w:r>
          <w:r>
            <w:tab/>
          </w:r>
          <w:r>
            <w:fldChar w:fldCharType="begin"/>
          </w:r>
          <w:r>
            <w:instrText xml:space="preserve"> PAGEREF _Toc22091 \h </w:instrText>
          </w:r>
          <w:r>
            <w:fldChar w:fldCharType="separate"/>
          </w:r>
          <w:r>
            <w:t>76</w:t>
          </w:r>
          <w:r>
            <w:fldChar w:fldCharType="end"/>
          </w:r>
          <w:r>
            <w:fldChar w:fldCharType="end"/>
          </w:r>
        </w:p>
        <w:p w14:paraId="291E5E21">
          <w:pPr>
            <w:pStyle w:val="12"/>
            <w:tabs>
              <w:tab w:val="right" w:leader="dot" w:pos="9026"/>
            </w:tabs>
          </w:pPr>
          <w:r>
            <w:fldChar w:fldCharType="begin"/>
          </w:r>
          <w:r>
            <w:instrText xml:space="preserve"> HYPERLINK \l _Toc22728 </w:instrText>
          </w:r>
          <w:r>
            <w:fldChar w:fldCharType="separate"/>
          </w:r>
          <w:r>
            <w:rPr>
              <w:rFonts w:ascii="黑体" w:hAnsi="黑体" w:eastAsia="黑体" w:cs="黑体"/>
              <w:bCs/>
              <w:szCs w:val="28"/>
            </w:rPr>
            <w:t>9.1 沉浸式体验设计基础</w:t>
          </w:r>
          <w:r>
            <w:tab/>
          </w:r>
          <w:r>
            <w:fldChar w:fldCharType="begin"/>
          </w:r>
          <w:r>
            <w:instrText xml:space="preserve"> PAGEREF _Toc22728 \h </w:instrText>
          </w:r>
          <w:r>
            <w:fldChar w:fldCharType="separate"/>
          </w:r>
          <w:r>
            <w:t>76</w:t>
          </w:r>
          <w:r>
            <w:fldChar w:fldCharType="end"/>
          </w:r>
          <w:r>
            <w:fldChar w:fldCharType="end"/>
          </w:r>
        </w:p>
        <w:p w14:paraId="7F117E0C">
          <w:pPr>
            <w:pStyle w:val="8"/>
            <w:tabs>
              <w:tab w:val="right" w:leader="dot" w:pos="9026"/>
            </w:tabs>
          </w:pPr>
          <w:r>
            <w:fldChar w:fldCharType="begin"/>
          </w:r>
          <w:r>
            <w:instrText xml:space="preserve"> HYPERLINK \l _Toc1848 </w:instrText>
          </w:r>
          <w:r>
            <w:fldChar w:fldCharType="separate"/>
          </w:r>
          <w:r>
            <w:rPr>
              <w:rFonts w:ascii="黑体" w:hAnsi="黑体" w:eastAsia="黑体" w:cs="黑体"/>
              <w:bCs/>
              <w:szCs w:val="26"/>
            </w:rPr>
            <w:t>9.1.1 沉浸式体验的概念</w:t>
          </w:r>
          <w:r>
            <w:tab/>
          </w:r>
          <w:r>
            <w:fldChar w:fldCharType="begin"/>
          </w:r>
          <w:r>
            <w:instrText xml:space="preserve"> PAGEREF _Toc1848 \h </w:instrText>
          </w:r>
          <w:r>
            <w:fldChar w:fldCharType="separate"/>
          </w:r>
          <w:r>
            <w:t>76</w:t>
          </w:r>
          <w:r>
            <w:fldChar w:fldCharType="end"/>
          </w:r>
          <w:r>
            <w:fldChar w:fldCharType="end"/>
          </w:r>
        </w:p>
        <w:p w14:paraId="6CA50D90">
          <w:pPr>
            <w:pStyle w:val="8"/>
            <w:tabs>
              <w:tab w:val="right" w:leader="dot" w:pos="9026"/>
            </w:tabs>
          </w:pPr>
          <w:r>
            <w:fldChar w:fldCharType="begin"/>
          </w:r>
          <w:r>
            <w:instrText xml:space="preserve"> HYPERLINK \l _Toc11872 </w:instrText>
          </w:r>
          <w:r>
            <w:fldChar w:fldCharType="separate"/>
          </w:r>
          <w:r>
            <w:rPr>
              <w:rFonts w:ascii="黑体" w:hAnsi="黑体" w:eastAsia="黑体" w:cs="黑体"/>
              <w:bCs/>
              <w:szCs w:val="26"/>
            </w:rPr>
            <w:t>9.1.2 文化遗产沉浸式体验的类型</w:t>
          </w:r>
          <w:r>
            <w:tab/>
          </w:r>
          <w:r>
            <w:fldChar w:fldCharType="begin"/>
          </w:r>
          <w:r>
            <w:instrText xml:space="preserve"> PAGEREF _Toc11872 \h </w:instrText>
          </w:r>
          <w:r>
            <w:fldChar w:fldCharType="separate"/>
          </w:r>
          <w:r>
            <w:t>77</w:t>
          </w:r>
          <w:r>
            <w:fldChar w:fldCharType="end"/>
          </w:r>
          <w:r>
            <w:fldChar w:fldCharType="end"/>
          </w:r>
        </w:p>
        <w:p w14:paraId="135B6860">
          <w:pPr>
            <w:pStyle w:val="8"/>
            <w:tabs>
              <w:tab w:val="right" w:leader="dot" w:pos="9026"/>
            </w:tabs>
          </w:pPr>
          <w:r>
            <w:fldChar w:fldCharType="begin"/>
          </w:r>
          <w:r>
            <w:instrText xml:space="preserve"> HYPERLINK \l _Toc25834 </w:instrText>
          </w:r>
          <w:r>
            <w:fldChar w:fldCharType="separate"/>
          </w:r>
          <w:r>
            <w:rPr>
              <w:rFonts w:ascii="黑体" w:hAnsi="黑体" w:eastAsia="黑体" w:cs="黑体"/>
              <w:bCs/>
              <w:szCs w:val="26"/>
            </w:rPr>
            <w:t>9.1.3 设计原则</w:t>
          </w:r>
          <w:r>
            <w:tab/>
          </w:r>
          <w:r>
            <w:fldChar w:fldCharType="begin"/>
          </w:r>
          <w:r>
            <w:instrText xml:space="preserve"> PAGEREF _Toc25834 \h </w:instrText>
          </w:r>
          <w:r>
            <w:fldChar w:fldCharType="separate"/>
          </w:r>
          <w:r>
            <w:t>77</w:t>
          </w:r>
          <w:r>
            <w:fldChar w:fldCharType="end"/>
          </w:r>
          <w:r>
            <w:fldChar w:fldCharType="end"/>
          </w:r>
        </w:p>
        <w:p w14:paraId="7CEAA302">
          <w:pPr>
            <w:pStyle w:val="12"/>
            <w:tabs>
              <w:tab w:val="right" w:leader="dot" w:pos="9026"/>
            </w:tabs>
          </w:pPr>
          <w:r>
            <w:fldChar w:fldCharType="begin"/>
          </w:r>
          <w:r>
            <w:instrText xml:space="preserve"> HYPERLINK \l _Toc13047 </w:instrText>
          </w:r>
          <w:r>
            <w:fldChar w:fldCharType="separate"/>
          </w:r>
          <w:r>
            <w:rPr>
              <w:rFonts w:ascii="黑体" w:hAnsi="黑体" w:eastAsia="黑体" w:cs="黑体"/>
              <w:bCs/>
              <w:szCs w:val="28"/>
            </w:rPr>
            <w:t>9.2 VR/AR屯堡体验设计</w:t>
          </w:r>
          <w:r>
            <w:tab/>
          </w:r>
          <w:r>
            <w:fldChar w:fldCharType="begin"/>
          </w:r>
          <w:r>
            <w:instrText xml:space="preserve"> PAGEREF _Toc13047 \h </w:instrText>
          </w:r>
          <w:r>
            <w:fldChar w:fldCharType="separate"/>
          </w:r>
          <w:r>
            <w:t>77</w:t>
          </w:r>
          <w:r>
            <w:fldChar w:fldCharType="end"/>
          </w:r>
          <w:r>
            <w:fldChar w:fldCharType="end"/>
          </w:r>
        </w:p>
        <w:p w14:paraId="288E4FC8">
          <w:pPr>
            <w:pStyle w:val="8"/>
            <w:tabs>
              <w:tab w:val="right" w:leader="dot" w:pos="9026"/>
            </w:tabs>
          </w:pPr>
          <w:r>
            <w:fldChar w:fldCharType="begin"/>
          </w:r>
          <w:r>
            <w:instrText xml:space="preserve"> HYPERLINK \l _Toc21184 </w:instrText>
          </w:r>
          <w:r>
            <w:fldChar w:fldCharType="separate"/>
          </w:r>
          <w:r>
            <w:rPr>
              <w:rFonts w:ascii="黑体" w:hAnsi="黑体" w:eastAsia="黑体" w:cs="黑体"/>
              <w:bCs/>
              <w:szCs w:val="26"/>
            </w:rPr>
            <w:t>9.2.1 VR屯堡漫游系统</w:t>
          </w:r>
          <w:r>
            <w:tab/>
          </w:r>
          <w:r>
            <w:fldChar w:fldCharType="begin"/>
          </w:r>
          <w:r>
            <w:instrText xml:space="preserve"> PAGEREF _Toc21184 \h </w:instrText>
          </w:r>
          <w:r>
            <w:fldChar w:fldCharType="separate"/>
          </w:r>
          <w:r>
            <w:t>77</w:t>
          </w:r>
          <w:r>
            <w:fldChar w:fldCharType="end"/>
          </w:r>
          <w:r>
            <w:fldChar w:fldCharType="end"/>
          </w:r>
        </w:p>
        <w:p w14:paraId="17855789">
          <w:pPr>
            <w:pStyle w:val="8"/>
            <w:tabs>
              <w:tab w:val="right" w:leader="dot" w:pos="9026"/>
            </w:tabs>
          </w:pPr>
          <w:r>
            <w:fldChar w:fldCharType="begin"/>
          </w:r>
          <w:r>
            <w:instrText xml:space="preserve"> HYPERLINK \l _Toc30920 </w:instrText>
          </w:r>
          <w:r>
            <w:fldChar w:fldCharType="separate"/>
          </w:r>
          <w:r>
            <w:rPr>
              <w:rFonts w:ascii="黑体" w:hAnsi="黑体" w:eastAsia="黑体" w:cs="黑体"/>
              <w:bCs/>
              <w:szCs w:val="26"/>
            </w:rPr>
            <w:t>9.2.2 AR屯堡导览系统</w:t>
          </w:r>
          <w:r>
            <w:tab/>
          </w:r>
          <w:r>
            <w:fldChar w:fldCharType="begin"/>
          </w:r>
          <w:r>
            <w:instrText xml:space="preserve"> PAGEREF _Toc30920 \h </w:instrText>
          </w:r>
          <w:r>
            <w:fldChar w:fldCharType="separate"/>
          </w:r>
          <w:r>
            <w:t>78</w:t>
          </w:r>
          <w:r>
            <w:fldChar w:fldCharType="end"/>
          </w:r>
          <w:r>
            <w:fldChar w:fldCharType="end"/>
          </w:r>
        </w:p>
        <w:p w14:paraId="6C86807B">
          <w:pPr>
            <w:pStyle w:val="8"/>
            <w:tabs>
              <w:tab w:val="right" w:leader="dot" w:pos="9026"/>
            </w:tabs>
          </w:pPr>
          <w:r>
            <w:fldChar w:fldCharType="begin"/>
          </w:r>
          <w:r>
            <w:instrText xml:space="preserve"> HYPERLINK \l _Toc19703 </w:instrText>
          </w:r>
          <w:r>
            <w:fldChar w:fldCharType="separate"/>
          </w:r>
          <w:r>
            <w:rPr>
              <w:rFonts w:ascii="黑体" w:hAnsi="黑体" w:eastAsia="黑体" w:cs="黑体"/>
              <w:bCs/>
              <w:szCs w:val="26"/>
            </w:rPr>
            <w:t>9.2.3 MR混合现实体验</w:t>
          </w:r>
          <w:r>
            <w:tab/>
          </w:r>
          <w:r>
            <w:fldChar w:fldCharType="begin"/>
          </w:r>
          <w:r>
            <w:instrText xml:space="preserve"> PAGEREF _Toc19703 \h </w:instrText>
          </w:r>
          <w:r>
            <w:fldChar w:fldCharType="separate"/>
          </w:r>
          <w:r>
            <w:t>78</w:t>
          </w:r>
          <w:r>
            <w:fldChar w:fldCharType="end"/>
          </w:r>
          <w:r>
            <w:fldChar w:fldCharType="end"/>
          </w:r>
        </w:p>
        <w:p w14:paraId="4CBF8B73">
          <w:pPr>
            <w:pStyle w:val="12"/>
            <w:tabs>
              <w:tab w:val="right" w:leader="dot" w:pos="9026"/>
            </w:tabs>
          </w:pPr>
          <w:r>
            <w:fldChar w:fldCharType="begin"/>
          </w:r>
          <w:r>
            <w:instrText xml:space="preserve"> HYPERLINK \l _Toc14916 </w:instrText>
          </w:r>
          <w:r>
            <w:fldChar w:fldCharType="separate"/>
          </w:r>
          <w:r>
            <w:rPr>
              <w:rFonts w:ascii="黑体" w:hAnsi="黑体" w:eastAsia="黑体" w:cs="黑体"/>
              <w:bCs/>
              <w:szCs w:val="28"/>
            </w:rPr>
            <w:t>9.3 线下沉浸式体验设计</w:t>
          </w:r>
          <w:r>
            <w:tab/>
          </w:r>
          <w:r>
            <w:fldChar w:fldCharType="begin"/>
          </w:r>
          <w:r>
            <w:instrText xml:space="preserve"> PAGEREF _Toc14916 \h </w:instrText>
          </w:r>
          <w:r>
            <w:fldChar w:fldCharType="separate"/>
          </w:r>
          <w:r>
            <w:t>79</w:t>
          </w:r>
          <w:r>
            <w:fldChar w:fldCharType="end"/>
          </w:r>
          <w:r>
            <w:fldChar w:fldCharType="end"/>
          </w:r>
        </w:p>
        <w:p w14:paraId="5243F8DC">
          <w:pPr>
            <w:pStyle w:val="8"/>
            <w:tabs>
              <w:tab w:val="right" w:leader="dot" w:pos="9026"/>
            </w:tabs>
          </w:pPr>
          <w:r>
            <w:fldChar w:fldCharType="begin"/>
          </w:r>
          <w:r>
            <w:instrText xml:space="preserve"> HYPERLINK \l _Toc16063 </w:instrText>
          </w:r>
          <w:r>
            <w:fldChar w:fldCharType="separate"/>
          </w:r>
          <w:r>
            <w:rPr>
              <w:rFonts w:ascii="黑体" w:hAnsi="黑体" w:eastAsia="黑体" w:cs="黑体"/>
              <w:bCs/>
              <w:szCs w:val="26"/>
            </w:rPr>
            <w:t>9.3.1 沉浸式剧场</w:t>
          </w:r>
          <w:r>
            <w:tab/>
          </w:r>
          <w:r>
            <w:fldChar w:fldCharType="begin"/>
          </w:r>
          <w:r>
            <w:instrText xml:space="preserve"> PAGEREF _Toc16063 \h </w:instrText>
          </w:r>
          <w:r>
            <w:fldChar w:fldCharType="separate"/>
          </w:r>
          <w:r>
            <w:t>79</w:t>
          </w:r>
          <w:r>
            <w:fldChar w:fldCharType="end"/>
          </w:r>
          <w:r>
            <w:fldChar w:fldCharType="end"/>
          </w:r>
        </w:p>
        <w:p w14:paraId="455A1238">
          <w:pPr>
            <w:pStyle w:val="8"/>
            <w:tabs>
              <w:tab w:val="right" w:leader="dot" w:pos="9026"/>
            </w:tabs>
          </w:pPr>
          <w:r>
            <w:fldChar w:fldCharType="begin"/>
          </w:r>
          <w:r>
            <w:instrText xml:space="preserve"> HYPERLINK \l _Toc28246 </w:instrText>
          </w:r>
          <w:r>
            <w:fldChar w:fldCharType="separate"/>
          </w:r>
          <w:r>
            <w:rPr>
              <w:rFonts w:ascii="黑体" w:hAnsi="黑体" w:eastAsia="黑体" w:cs="黑体"/>
              <w:bCs/>
              <w:szCs w:val="26"/>
            </w:rPr>
            <w:t>9.3.2 沉浸式光影秀</w:t>
          </w:r>
          <w:r>
            <w:tab/>
          </w:r>
          <w:r>
            <w:fldChar w:fldCharType="begin"/>
          </w:r>
          <w:r>
            <w:instrText xml:space="preserve"> PAGEREF _Toc28246 \h </w:instrText>
          </w:r>
          <w:r>
            <w:fldChar w:fldCharType="separate"/>
          </w:r>
          <w:r>
            <w:t>79</w:t>
          </w:r>
          <w:r>
            <w:fldChar w:fldCharType="end"/>
          </w:r>
          <w:r>
            <w:fldChar w:fldCharType="end"/>
          </w:r>
        </w:p>
        <w:p w14:paraId="10B745B0">
          <w:pPr>
            <w:pStyle w:val="8"/>
            <w:tabs>
              <w:tab w:val="right" w:leader="dot" w:pos="9026"/>
            </w:tabs>
          </w:pPr>
          <w:r>
            <w:fldChar w:fldCharType="begin"/>
          </w:r>
          <w:r>
            <w:instrText xml:space="preserve"> HYPERLINK \l _Toc491 </w:instrText>
          </w:r>
          <w:r>
            <w:fldChar w:fldCharType="separate"/>
          </w:r>
          <w:r>
            <w:rPr>
              <w:rFonts w:ascii="黑体" w:hAnsi="黑体" w:eastAsia="黑体" w:cs="黑体"/>
              <w:bCs/>
              <w:szCs w:val="26"/>
            </w:rPr>
            <w:t>9.3.3 沉浸式工坊</w:t>
          </w:r>
          <w:r>
            <w:tab/>
          </w:r>
          <w:r>
            <w:fldChar w:fldCharType="begin"/>
          </w:r>
          <w:r>
            <w:instrText xml:space="preserve"> PAGEREF _Toc491 \h </w:instrText>
          </w:r>
          <w:r>
            <w:fldChar w:fldCharType="separate"/>
          </w:r>
          <w:r>
            <w:t>80</w:t>
          </w:r>
          <w:r>
            <w:fldChar w:fldCharType="end"/>
          </w:r>
          <w:r>
            <w:fldChar w:fldCharType="end"/>
          </w:r>
        </w:p>
        <w:p w14:paraId="334C31DF">
          <w:pPr>
            <w:pStyle w:val="12"/>
            <w:tabs>
              <w:tab w:val="right" w:leader="dot" w:pos="9026"/>
            </w:tabs>
          </w:pPr>
          <w:r>
            <w:fldChar w:fldCharType="begin"/>
          </w:r>
          <w:r>
            <w:instrText xml:space="preserve"> HYPERLINK \l _Toc5071 </w:instrText>
          </w:r>
          <w:r>
            <w:fldChar w:fldCharType="separate"/>
          </w:r>
          <w:r>
            <w:rPr>
              <w:rFonts w:ascii="黑体" w:hAnsi="黑体" w:eastAsia="黑体" w:cs="黑体"/>
              <w:bCs/>
              <w:szCs w:val="28"/>
            </w:rPr>
            <w:t>9.4 游戏化设计</w:t>
          </w:r>
          <w:r>
            <w:tab/>
          </w:r>
          <w:r>
            <w:fldChar w:fldCharType="begin"/>
          </w:r>
          <w:r>
            <w:instrText xml:space="preserve"> PAGEREF _Toc5071 \h </w:instrText>
          </w:r>
          <w:r>
            <w:fldChar w:fldCharType="separate"/>
          </w:r>
          <w:r>
            <w:t>80</w:t>
          </w:r>
          <w:r>
            <w:fldChar w:fldCharType="end"/>
          </w:r>
          <w:r>
            <w:fldChar w:fldCharType="end"/>
          </w:r>
        </w:p>
        <w:p w14:paraId="559FB858">
          <w:pPr>
            <w:pStyle w:val="8"/>
            <w:tabs>
              <w:tab w:val="right" w:leader="dot" w:pos="9026"/>
            </w:tabs>
          </w:pPr>
          <w:r>
            <w:fldChar w:fldCharType="begin"/>
          </w:r>
          <w:r>
            <w:instrText xml:space="preserve"> HYPERLINK \l _Toc7462 </w:instrText>
          </w:r>
          <w:r>
            <w:fldChar w:fldCharType="separate"/>
          </w:r>
          <w:r>
            <w:rPr>
              <w:rFonts w:ascii="黑体" w:hAnsi="黑体" w:eastAsia="黑体" w:cs="黑体"/>
              <w:bCs/>
              <w:szCs w:val="26"/>
            </w:rPr>
            <w:t>9.4.1 游戏化原理</w:t>
          </w:r>
          <w:r>
            <w:tab/>
          </w:r>
          <w:r>
            <w:fldChar w:fldCharType="begin"/>
          </w:r>
          <w:r>
            <w:instrText xml:space="preserve"> PAGEREF _Toc7462 \h </w:instrText>
          </w:r>
          <w:r>
            <w:fldChar w:fldCharType="separate"/>
          </w:r>
          <w:r>
            <w:t>80</w:t>
          </w:r>
          <w:r>
            <w:fldChar w:fldCharType="end"/>
          </w:r>
          <w:r>
            <w:fldChar w:fldCharType="end"/>
          </w:r>
        </w:p>
        <w:p w14:paraId="3B97FB81">
          <w:pPr>
            <w:pStyle w:val="8"/>
            <w:tabs>
              <w:tab w:val="right" w:leader="dot" w:pos="9026"/>
            </w:tabs>
          </w:pPr>
          <w:r>
            <w:fldChar w:fldCharType="begin"/>
          </w:r>
          <w:r>
            <w:instrText xml:space="preserve"> HYPERLINK \l _Toc5450 </w:instrText>
          </w:r>
          <w:r>
            <w:fldChar w:fldCharType="separate"/>
          </w:r>
          <w:r>
            <w:rPr>
              <w:rFonts w:ascii="黑体" w:hAnsi="黑体" w:eastAsia="黑体" w:cs="黑体"/>
              <w:bCs/>
              <w:szCs w:val="26"/>
            </w:rPr>
            <w:t>9.4.2 屯堡文化游戏化方案</w:t>
          </w:r>
          <w:r>
            <w:tab/>
          </w:r>
          <w:r>
            <w:fldChar w:fldCharType="begin"/>
          </w:r>
          <w:r>
            <w:instrText xml:space="preserve"> PAGEREF _Toc5450 \h </w:instrText>
          </w:r>
          <w:r>
            <w:fldChar w:fldCharType="separate"/>
          </w:r>
          <w:r>
            <w:t>80</w:t>
          </w:r>
          <w:r>
            <w:fldChar w:fldCharType="end"/>
          </w:r>
          <w:r>
            <w:fldChar w:fldCharType="end"/>
          </w:r>
        </w:p>
        <w:p w14:paraId="5E788B04">
          <w:pPr>
            <w:pStyle w:val="12"/>
            <w:tabs>
              <w:tab w:val="right" w:leader="dot" w:pos="9026"/>
            </w:tabs>
          </w:pPr>
          <w:r>
            <w:fldChar w:fldCharType="begin"/>
          </w:r>
          <w:r>
            <w:instrText xml:space="preserve"> HYPERLINK \l _Toc15573 </w:instrText>
          </w:r>
          <w:r>
            <w:fldChar w:fldCharType="separate"/>
          </w:r>
          <w:r>
            <w:rPr>
              <w:rFonts w:ascii="黑体" w:hAnsi="黑体" w:eastAsia="黑体" w:cs="黑体"/>
              <w:bCs/>
              <w:szCs w:val="28"/>
            </w:rPr>
            <w:t>9.5 沉浸式体验的评估与优化</w:t>
          </w:r>
          <w:r>
            <w:tab/>
          </w:r>
          <w:r>
            <w:fldChar w:fldCharType="begin"/>
          </w:r>
          <w:r>
            <w:instrText xml:space="preserve"> PAGEREF _Toc15573 \h </w:instrText>
          </w:r>
          <w:r>
            <w:fldChar w:fldCharType="separate"/>
          </w:r>
          <w:r>
            <w:t>81</w:t>
          </w:r>
          <w:r>
            <w:fldChar w:fldCharType="end"/>
          </w:r>
          <w:r>
            <w:fldChar w:fldCharType="end"/>
          </w:r>
        </w:p>
        <w:p w14:paraId="246853A1">
          <w:pPr>
            <w:pStyle w:val="8"/>
            <w:tabs>
              <w:tab w:val="right" w:leader="dot" w:pos="9026"/>
            </w:tabs>
          </w:pPr>
          <w:r>
            <w:fldChar w:fldCharType="begin"/>
          </w:r>
          <w:r>
            <w:instrText xml:space="preserve"> HYPERLINK \l _Toc28926 </w:instrText>
          </w:r>
          <w:r>
            <w:fldChar w:fldCharType="separate"/>
          </w:r>
          <w:r>
            <w:rPr>
              <w:rFonts w:ascii="黑体" w:hAnsi="黑体" w:eastAsia="黑体" w:cs="黑体"/>
              <w:bCs/>
              <w:szCs w:val="26"/>
            </w:rPr>
            <w:t>9.5.1 体验质量评估</w:t>
          </w:r>
          <w:r>
            <w:tab/>
          </w:r>
          <w:r>
            <w:fldChar w:fldCharType="begin"/>
          </w:r>
          <w:r>
            <w:instrText xml:space="preserve"> PAGEREF _Toc28926 \h </w:instrText>
          </w:r>
          <w:r>
            <w:fldChar w:fldCharType="separate"/>
          </w:r>
          <w:r>
            <w:t>81</w:t>
          </w:r>
          <w:r>
            <w:fldChar w:fldCharType="end"/>
          </w:r>
          <w:r>
            <w:fldChar w:fldCharType="end"/>
          </w:r>
        </w:p>
        <w:p w14:paraId="032C0B40">
          <w:pPr>
            <w:pStyle w:val="8"/>
            <w:tabs>
              <w:tab w:val="right" w:leader="dot" w:pos="9026"/>
            </w:tabs>
          </w:pPr>
          <w:r>
            <w:fldChar w:fldCharType="begin"/>
          </w:r>
          <w:r>
            <w:instrText xml:space="preserve"> HYPERLINK \l _Toc1041 </w:instrText>
          </w:r>
          <w:r>
            <w:fldChar w:fldCharType="separate"/>
          </w:r>
          <w:r>
            <w:rPr>
              <w:rFonts w:ascii="黑体" w:hAnsi="黑体" w:eastAsia="黑体" w:cs="黑体"/>
              <w:bCs/>
              <w:szCs w:val="26"/>
            </w:rPr>
            <w:t>9.5.2 迭代优化</w:t>
          </w:r>
          <w:r>
            <w:tab/>
          </w:r>
          <w:r>
            <w:fldChar w:fldCharType="begin"/>
          </w:r>
          <w:r>
            <w:instrText xml:space="preserve"> PAGEREF _Toc1041 \h </w:instrText>
          </w:r>
          <w:r>
            <w:fldChar w:fldCharType="separate"/>
          </w:r>
          <w:r>
            <w:t>81</w:t>
          </w:r>
          <w:r>
            <w:fldChar w:fldCharType="end"/>
          </w:r>
          <w:r>
            <w:fldChar w:fldCharType="end"/>
          </w:r>
        </w:p>
        <w:p w14:paraId="28976370">
          <w:pPr>
            <w:pStyle w:val="12"/>
            <w:tabs>
              <w:tab w:val="right" w:leader="dot" w:pos="9026"/>
            </w:tabs>
          </w:pPr>
          <w:r>
            <w:fldChar w:fldCharType="begin"/>
          </w:r>
          <w:r>
            <w:instrText xml:space="preserve"> HYPERLINK \l _Toc27741 </w:instrText>
          </w:r>
          <w:r>
            <w:fldChar w:fldCharType="separate"/>
          </w:r>
          <w:r>
            <w:rPr>
              <w:rFonts w:ascii="黑体" w:hAnsi="黑体" w:eastAsia="黑体" w:cs="黑体"/>
              <w:bCs/>
              <w:szCs w:val="28"/>
            </w:rPr>
            <w:t>本章小结</w:t>
          </w:r>
          <w:r>
            <w:tab/>
          </w:r>
          <w:r>
            <w:fldChar w:fldCharType="begin"/>
          </w:r>
          <w:r>
            <w:instrText xml:space="preserve"> PAGEREF _Toc27741 \h </w:instrText>
          </w:r>
          <w:r>
            <w:fldChar w:fldCharType="separate"/>
          </w:r>
          <w:r>
            <w:t>82</w:t>
          </w:r>
          <w:r>
            <w:fldChar w:fldCharType="end"/>
          </w:r>
          <w:r>
            <w:fldChar w:fldCharType="end"/>
          </w:r>
        </w:p>
        <w:p w14:paraId="7F6D26C7">
          <w:pPr>
            <w:pStyle w:val="12"/>
            <w:tabs>
              <w:tab w:val="right" w:leader="dot" w:pos="9026"/>
            </w:tabs>
          </w:pPr>
          <w:r>
            <w:fldChar w:fldCharType="begin"/>
          </w:r>
          <w:r>
            <w:instrText xml:space="preserve"> HYPERLINK \l _Toc32346 </w:instrText>
          </w:r>
          <w:r>
            <w:fldChar w:fldCharType="separate"/>
          </w:r>
          <w:r>
            <w:rPr>
              <w:rFonts w:ascii="黑体" w:hAnsi="黑体" w:eastAsia="黑体" w:cs="黑体"/>
              <w:bCs/>
              <w:szCs w:val="28"/>
            </w:rPr>
            <w:t>思考与练习</w:t>
          </w:r>
          <w:r>
            <w:tab/>
          </w:r>
          <w:r>
            <w:fldChar w:fldCharType="begin"/>
          </w:r>
          <w:r>
            <w:instrText xml:space="preserve"> PAGEREF _Toc32346 \h </w:instrText>
          </w:r>
          <w:r>
            <w:fldChar w:fldCharType="separate"/>
          </w:r>
          <w:r>
            <w:t>82</w:t>
          </w:r>
          <w:r>
            <w:fldChar w:fldCharType="end"/>
          </w:r>
          <w:r>
            <w:fldChar w:fldCharType="end"/>
          </w:r>
        </w:p>
        <w:p w14:paraId="12BA3418">
          <w:pPr>
            <w:pStyle w:val="12"/>
            <w:tabs>
              <w:tab w:val="right" w:leader="dot" w:pos="9026"/>
            </w:tabs>
          </w:pPr>
          <w:r>
            <w:fldChar w:fldCharType="begin"/>
          </w:r>
          <w:r>
            <w:instrText xml:space="preserve"> HYPERLINK \l _Toc6514 </w:instrText>
          </w:r>
          <w:r>
            <w:fldChar w:fldCharType="separate"/>
          </w:r>
          <w:r>
            <w:rPr>
              <w:rFonts w:ascii="黑体" w:hAnsi="黑体" w:eastAsia="黑体" w:cs="黑体"/>
              <w:bCs/>
              <w:szCs w:val="28"/>
            </w:rPr>
            <w:t>知识卡片：沉浸式体验设计的五个层次</w:t>
          </w:r>
          <w:r>
            <w:tab/>
          </w:r>
          <w:r>
            <w:fldChar w:fldCharType="begin"/>
          </w:r>
          <w:r>
            <w:instrText xml:space="preserve"> PAGEREF _Toc6514 \h </w:instrText>
          </w:r>
          <w:r>
            <w:fldChar w:fldCharType="separate"/>
          </w:r>
          <w:r>
            <w:t>82</w:t>
          </w:r>
          <w:r>
            <w:fldChar w:fldCharType="end"/>
          </w:r>
          <w:r>
            <w:fldChar w:fldCharType="end"/>
          </w:r>
        </w:p>
        <w:p w14:paraId="7EDDCEE1">
          <w:pPr>
            <w:pStyle w:val="10"/>
            <w:tabs>
              <w:tab w:val="right" w:leader="dot" w:pos="9026"/>
            </w:tabs>
          </w:pPr>
          <w:r>
            <w:fldChar w:fldCharType="begin"/>
          </w:r>
          <w:r>
            <w:instrText xml:space="preserve"> HYPERLINK \l _Toc32752 </w:instrText>
          </w:r>
          <w:r>
            <w:fldChar w:fldCharType="separate"/>
          </w:r>
          <w:r>
            <w:rPr>
              <w:rFonts w:ascii="黑体" w:hAnsi="黑体" w:eastAsia="黑体" w:cs="黑体"/>
              <w:bCs/>
              <w:szCs w:val="32"/>
            </w:rPr>
            <w:t>第 10 章  屯堡文创产品开发与IP运营</w:t>
          </w:r>
          <w:r>
            <w:tab/>
          </w:r>
          <w:r>
            <w:fldChar w:fldCharType="begin"/>
          </w:r>
          <w:r>
            <w:instrText xml:space="preserve"> PAGEREF _Toc32752 \h </w:instrText>
          </w:r>
          <w:r>
            <w:fldChar w:fldCharType="separate"/>
          </w:r>
          <w:r>
            <w:t>83</w:t>
          </w:r>
          <w:r>
            <w:fldChar w:fldCharType="end"/>
          </w:r>
          <w:r>
            <w:fldChar w:fldCharType="end"/>
          </w:r>
        </w:p>
        <w:p w14:paraId="375ADE35">
          <w:pPr>
            <w:pStyle w:val="12"/>
            <w:tabs>
              <w:tab w:val="right" w:leader="dot" w:pos="9026"/>
            </w:tabs>
          </w:pPr>
          <w:r>
            <w:fldChar w:fldCharType="begin"/>
          </w:r>
          <w:r>
            <w:instrText xml:space="preserve"> HYPERLINK \l _Toc25686 </w:instrText>
          </w:r>
          <w:r>
            <w:fldChar w:fldCharType="separate"/>
          </w:r>
          <w:r>
            <w:rPr>
              <w:rFonts w:ascii="黑体" w:hAnsi="黑体" w:eastAsia="黑体" w:cs="黑体"/>
              <w:bCs/>
              <w:szCs w:val="28"/>
            </w:rPr>
            <w:t>学习目标</w:t>
          </w:r>
          <w:r>
            <w:tab/>
          </w:r>
          <w:r>
            <w:fldChar w:fldCharType="begin"/>
          </w:r>
          <w:r>
            <w:instrText xml:space="preserve"> PAGEREF _Toc25686 \h </w:instrText>
          </w:r>
          <w:r>
            <w:fldChar w:fldCharType="separate"/>
          </w:r>
          <w:r>
            <w:t>83</w:t>
          </w:r>
          <w:r>
            <w:fldChar w:fldCharType="end"/>
          </w:r>
          <w:r>
            <w:fldChar w:fldCharType="end"/>
          </w:r>
        </w:p>
        <w:p w14:paraId="19E654B5">
          <w:pPr>
            <w:pStyle w:val="12"/>
            <w:tabs>
              <w:tab w:val="right" w:leader="dot" w:pos="9026"/>
            </w:tabs>
          </w:pPr>
          <w:r>
            <w:fldChar w:fldCharType="begin"/>
          </w:r>
          <w:r>
            <w:instrText xml:space="preserve"> HYPERLINK \l _Toc29178 </w:instrText>
          </w:r>
          <w:r>
            <w:fldChar w:fldCharType="separate"/>
          </w:r>
          <w:r>
            <w:rPr>
              <w:rFonts w:ascii="黑体" w:hAnsi="黑体" w:eastAsia="黑体" w:cs="黑体"/>
              <w:bCs/>
              <w:szCs w:val="28"/>
            </w:rPr>
            <w:t>导入案例：从一面面具到一个产业</w:t>
          </w:r>
          <w:r>
            <w:tab/>
          </w:r>
          <w:r>
            <w:fldChar w:fldCharType="begin"/>
          </w:r>
          <w:r>
            <w:instrText xml:space="preserve"> PAGEREF _Toc29178 \h </w:instrText>
          </w:r>
          <w:r>
            <w:fldChar w:fldCharType="separate"/>
          </w:r>
          <w:r>
            <w:t>83</w:t>
          </w:r>
          <w:r>
            <w:fldChar w:fldCharType="end"/>
          </w:r>
          <w:r>
            <w:fldChar w:fldCharType="end"/>
          </w:r>
        </w:p>
        <w:p w14:paraId="132EFD56">
          <w:pPr>
            <w:pStyle w:val="12"/>
            <w:tabs>
              <w:tab w:val="right" w:leader="dot" w:pos="9026"/>
            </w:tabs>
          </w:pPr>
          <w:r>
            <w:fldChar w:fldCharType="begin"/>
          </w:r>
          <w:r>
            <w:instrText xml:space="preserve"> HYPERLINK \l _Toc20794 </w:instrText>
          </w:r>
          <w:r>
            <w:fldChar w:fldCharType="separate"/>
          </w:r>
          <w:r>
            <w:rPr>
              <w:rFonts w:ascii="黑体" w:hAnsi="黑体" w:eastAsia="黑体" w:cs="黑体"/>
              <w:bCs/>
              <w:szCs w:val="28"/>
            </w:rPr>
            <w:t>10.1 文化创意产品开发基础</w:t>
          </w:r>
          <w:r>
            <w:tab/>
          </w:r>
          <w:r>
            <w:fldChar w:fldCharType="begin"/>
          </w:r>
          <w:r>
            <w:instrText xml:space="preserve"> PAGEREF _Toc20794 \h </w:instrText>
          </w:r>
          <w:r>
            <w:fldChar w:fldCharType="separate"/>
          </w:r>
          <w:r>
            <w:t>83</w:t>
          </w:r>
          <w:r>
            <w:fldChar w:fldCharType="end"/>
          </w:r>
          <w:r>
            <w:fldChar w:fldCharType="end"/>
          </w:r>
        </w:p>
        <w:p w14:paraId="1EBCCCC1">
          <w:pPr>
            <w:pStyle w:val="8"/>
            <w:tabs>
              <w:tab w:val="right" w:leader="dot" w:pos="9026"/>
            </w:tabs>
          </w:pPr>
          <w:r>
            <w:fldChar w:fldCharType="begin"/>
          </w:r>
          <w:r>
            <w:instrText xml:space="preserve"> HYPERLINK \l _Toc12516 </w:instrText>
          </w:r>
          <w:r>
            <w:fldChar w:fldCharType="separate"/>
          </w:r>
          <w:r>
            <w:rPr>
              <w:rFonts w:ascii="黑体" w:hAnsi="黑体" w:eastAsia="黑体" w:cs="黑体"/>
              <w:bCs/>
              <w:szCs w:val="26"/>
            </w:rPr>
            <w:t>10.1.1 文创产品的概念与分类</w:t>
          </w:r>
          <w:r>
            <w:tab/>
          </w:r>
          <w:r>
            <w:fldChar w:fldCharType="begin"/>
          </w:r>
          <w:r>
            <w:instrText xml:space="preserve"> PAGEREF _Toc12516 \h </w:instrText>
          </w:r>
          <w:r>
            <w:fldChar w:fldCharType="separate"/>
          </w:r>
          <w:r>
            <w:t>83</w:t>
          </w:r>
          <w:r>
            <w:fldChar w:fldCharType="end"/>
          </w:r>
          <w:r>
            <w:fldChar w:fldCharType="end"/>
          </w:r>
        </w:p>
        <w:p w14:paraId="1FBF40EF">
          <w:pPr>
            <w:pStyle w:val="8"/>
            <w:tabs>
              <w:tab w:val="right" w:leader="dot" w:pos="9026"/>
            </w:tabs>
          </w:pPr>
          <w:r>
            <w:fldChar w:fldCharType="begin"/>
          </w:r>
          <w:r>
            <w:instrText xml:space="preserve"> HYPERLINK \l _Toc6104 </w:instrText>
          </w:r>
          <w:r>
            <w:fldChar w:fldCharType="separate"/>
          </w:r>
          <w:r>
            <w:rPr>
              <w:rFonts w:ascii="黑体" w:hAnsi="黑体" w:eastAsia="黑体" w:cs="黑体"/>
              <w:bCs/>
              <w:szCs w:val="26"/>
            </w:rPr>
            <w:t>10.1.2 文创产品开发流程</w:t>
          </w:r>
          <w:r>
            <w:tab/>
          </w:r>
          <w:r>
            <w:fldChar w:fldCharType="begin"/>
          </w:r>
          <w:r>
            <w:instrText xml:space="preserve"> PAGEREF _Toc6104 \h </w:instrText>
          </w:r>
          <w:r>
            <w:fldChar w:fldCharType="separate"/>
          </w:r>
          <w:r>
            <w:t>84</w:t>
          </w:r>
          <w:r>
            <w:fldChar w:fldCharType="end"/>
          </w:r>
          <w:r>
            <w:fldChar w:fldCharType="end"/>
          </w:r>
        </w:p>
        <w:p w14:paraId="3199A08B">
          <w:pPr>
            <w:pStyle w:val="8"/>
            <w:tabs>
              <w:tab w:val="right" w:leader="dot" w:pos="9026"/>
            </w:tabs>
          </w:pPr>
          <w:r>
            <w:fldChar w:fldCharType="begin"/>
          </w:r>
          <w:r>
            <w:instrText xml:space="preserve"> HYPERLINK \l _Toc5781 </w:instrText>
          </w:r>
          <w:r>
            <w:fldChar w:fldCharType="separate"/>
          </w:r>
          <w:r>
            <w:rPr>
              <w:rFonts w:ascii="黑体" w:hAnsi="黑体" w:eastAsia="黑体" w:cs="黑体"/>
              <w:bCs/>
              <w:szCs w:val="26"/>
            </w:rPr>
            <w:t>10.1.3 文创产品设计原则</w:t>
          </w:r>
          <w:r>
            <w:tab/>
          </w:r>
          <w:r>
            <w:fldChar w:fldCharType="begin"/>
          </w:r>
          <w:r>
            <w:instrText xml:space="preserve"> PAGEREF _Toc5781 \h </w:instrText>
          </w:r>
          <w:r>
            <w:fldChar w:fldCharType="separate"/>
          </w:r>
          <w:r>
            <w:t>85</w:t>
          </w:r>
          <w:r>
            <w:fldChar w:fldCharType="end"/>
          </w:r>
          <w:r>
            <w:fldChar w:fldCharType="end"/>
          </w:r>
        </w:p>
        <w:p w14:paraId="6C1CAD8E">
          <w:pPr>
            <w:pStyle w:val="12"/>
            <w:tabs>
              <w:tab w:val="right" w:leader="dot" w:pos="9026"/>
            </w:tabs>
          </w:pPr>
          <w:r>
            <w:fldChar w:fldCharType="begin"/>
          </w:r>
          <w:r>
            <w:instrText xml:space="preserve"> HYPERLINK \l _Toc28486 </w:instrText>
          </w:r>
          <w:r>
            <w:fldChar w:fldCharType="separate"/>
          </w:r>
          <w:r>
            <w:rPr>
              <w:rFonts w:ascii="黑体" w:hAnsi="黑体" w:eastAsia="黑体" w:cs="黑体"/>
              <w:bCs/>
              <w:szCs w:val="28"/>
            </w:rPr>
            <w:t>10.2 屯堡文化符号的提取与转化</w:t>
          </w:r>
          <w:r>
            <w:tab/>
          </w:r>
          <w:r>
            <w:fldChar w:fldCharType="begin"/>
          </w:r>
          <w:r>
            <w:instrText xml:space="preserve"> PAGEREF _Toc28486 \h </w:instrText>
          </w:r>
          <w:r>
            <w:fldChar w:fldCharType="separate"/>
          </w:r>
          <w:r>
            <w:t>85</w:t>
          </w:r>
          <w:r>
            <w:fldChar w:fldCharType="end"/>
          </w:r>
          <w:r>
            <w:fldChar w:fldCharType="end"/>
          </w:r>
        </w:p>
        <w:p w14:paraId="1A808871">
          <w:pPr>
            <w:pStyle w:val="8"/>
            <w:tabs>
              <w:tab w:val="right" w:leader="dot" w:pos="9026"/>
            </w:tabs>
          </w:pPr>
          <w:r>
            <w:fldChar w:fldCharType="begin"/>
          </w:r>
          <w:r>
            <w:instrText xml:space="preserve"> HYPERLINK \l _Toc22380 </w:instrText>
          </w:r>
          <w:r>
            <w:fldChar w:fldCharType="separate"/>
          </w:r>
          <w:r>
            <w:rPr>
              <w:rFonts w:ascii="黑体" w:hAnsi="黑体" w:eastAsia="黑体" w:cs="黑体"/>
              <w:bCs/>
              <w:szCs w:val="26"/>
            </w:rPr>
            <w:t>10.2.1 视觉符号体系</w:t>
          </w:r>
          <w:r>
            <w:tab/>
          </w:r>
          <w:r>
            <w:fldChar w:fldCharType="begin"/>
          </w:r>
          <w:r>
            <w:instrText xml:space="preserve"> PAGEREF _Toc22380 \h </w:instrText>
          </w:r>
          <w:r>
            <w:fldChar w:fldCharType="separate"/>
          </w:r>
          <w:r>
            <w:t>85</w:t>
          </w:r>
          <w:r>
            <w:fldChar w:fldCharType="end"/>
          </w:r>
          <w:r>
            <w:fldChar w:fldCharType="end"/>
          </w:r>
        </w:p>
        <w:p w14:paraId="2183E36C">
          <w:pPr>
            <w:pStyle w:val="8"/>
            <w:tabs>
              <w:tab w:val="right" w:leader="dot" w:pos="9026"/>
            </w:tabs>
          </w:pPr>
          <w:r>
            <w:fldChar w:fldCharType="begin"/>
          </w:r>
          <w:r>
            <w:instrText xml:space="preserve"> HYPERLINK \l _Toc13694 </w:instrText>
          </w:r>
          <w:r>
            <w:fldChar w:fldCharType="separate"/>
          </w:r>
          <w:r>
            <w:rPr>
              <w:rFonts w:ascii="黑体" w:hAnsi="黑体" w:eastAsia="黑体" w:cs="黑体"/>
              <w:bCs/>
              <w:szCs w:val="26"/>
            </w:rPr>
            <w:t>10.2.2 符号转化的设计策略</w:t>
          </w:r>
          <w:r>
            <w:tab/>
          </w:r>
          <w:r>
            <w:fldChar w:fldCharType="begin"/>
          </w:r>
          <w:r>
            <w:instrText xml:space="preserve"> PAGEREF _Toc13694 \h </w:instrText>
          </w:r>
          <w:r>
            <w:fldChar w:fldCharType="separate"/>
          </w:r>
          <w:r>
            <w:t>85</w:t>
          </w:r>
          <w:r>
            <w:fldChar w:fldCharType="end"/>
          </w:r>
          <w:r>
            <w:fldChar w:fldCharType="end"/>
          </w:r>
        </w:p>
        <w:p w14:paraId="3BBD2498">
          <w:pPr>
            <w:pStyle w:val="8"/>
            <w:tabs>
              <w:tab w:val="right" w:leader="dot" w:pos="9026"/>
            </w:tabs>
          </w:pPr>
          <w:r>
            <w:fldChar w:fldCharType="begin"/>
          </w:r>
          <w:r>
            <w:instrText xml:space="preserve"> HYPERLINK \l _Toc20525 </w:instrText>
          </w:r>
          <w:r>
            <w:fldChar w:fldCharType="separate"/>
          </w:r>
          <w:r>
            <w:rPr>
              <w:rFonts w:ascii="黑体" w:hAnsi="黑体" w:eastAsia="黑体" w:cs="黑体"/>
              <w:bCs/>
              <w:szCs w:val="26"/>
            </w:rPr>
            <w:t>10.2.3 典型案例分析</w:t>
          </w:r>
          <w:r>
            <w:tab/>
          </w:r>
          <w:r>
            <w:fldChar w:fldCharType="begin"/>
          </w:r>
          <w:r>
            <w:instrText xml:space="preserve"> PAGEREF _Toc20525 \h </w:instrText>
          </w:r>
          <w:r>
            <w:fldChar w:fldCharType="separate"/>
          </w:r>
          <w:r>
            <w:t>86</w:t>
          </w:r>
          <w:r>
            <w:fldChar w:fldCharType="end"/>
          </w:r>
          <w:r>
            <w:fldChar w:fldCharType="end"/>
          </w:r>
        </w:p>
        <w:p w14:paraId="4A122EA3">
          <w:pPr>
            <w:pStyle w:val="12"/>
            <w:tabs>
              <w:tab w:val="right" w:leader="dot" w:pos="9026"/>
            </w:tabs>
          </w:pPr>
          <w:r>
            <w:fldChar w:fldCharType="begin"/>
          </w:r>
          <w:r>
            <w:instrText xml:space="preserve"> HYPERLINK \l _Toc14366 </w:instrText>
          </w:r>
          <w:r>
            <w:fldChar w:fldCharType="separate"/>
          </w:r>
          <w:r>
            <w:rPr>
              <w:rFonts w:ascii="黑体" w:hAnsi="黑体" w:eastAsia="黑体" w:cs="黑体"/>
              <w:bCs/>
              <w:szCs w:val="28"/>
            </w:rPr>
            <w:t>10.3 屯堡文化IP运营</w:t>
          </w:r>
          <w:r>
            <w:tab/>
          </w:r>
          <w:r>
            <w:fldChar w:fldCharType="begin"/>
          </w:r>
          <w:r>
            <w:instrText xml:space="preserve"> PAGEREF _Toc14366 \h </w:instrText>
          </w:r>
          <w:r>
            <w:fldChar w:fldCharType="separate"/>
          </w:r>
          <w:r>
            <w:t>86</w:t>
          </w:r>
          <w:r>
            <w:fldChar w:fldCharType="end"/>
          </w:r>
          <w:r>
            <w:fldChar w:fldCharType="end"/>
          </w:r>
        </w:p>
        <w:p w14:paraId="3B37E318">
          <w:pPr>
            <w:pStyle w:val="8"/>
            <w:tabs>
              <w:tab w:val="right" w:leader="dot" w:pos="9026"/>
            </w:tabs>
          </w:pPr>
          <w:r>
            <w:fldChar w:fldCharType="begin"/>
          </w:r>
          <w:r>
            <w:instrText xml:space="preserve"> HYPERLINK \l _Toc5184 </w:instrText>
          </w:r>
          <w:r>
            <w:fldChar w:fldCharType="separate"/>
          </w:r>
          <w:r>
            <w:rPr>
              <w:rFonts w:ascii="黑体" w:hAnsi="黑体" w:eastAsia="黑体" w:cs="黑体"/>
              <w:bCs/>
              <w:szCs w:val="26"/>
            </w:rPr>
            <w:t>10.3.1 文化IP的概念</w:t>
          </w:r>
          <w:r>
            <w:tab/>
          </w:r>
          <w:r>
            <w:fldChar w:fldCharType="begin"/>
          </w:r>
          <w:r>
            <w:instrText xml:space="preserve"> PAGEREF _Toc5184 \h </w:instrText>
          </w:r>
          <w:r>
            <w:fldChar w:fldCharType="separate"/>
          </w:r>
          <w:r>
            <w:t>86</w:t>
          </w:r>
          <w:r>
            <w:fldChar w:fldCharType="end"/>
          </w:r>
          <w:r>
            <w:fldChar w:fldCharType="end"/>
          </w:r>
        </w:p>
        <w:p w14:paraId="2ADA6061">
          <w:pPr>
            <w:pStyle w:val="8"/>
            <w:tabs>
              <w:tab w:val="right" w:leader="dot" w:pos="9026"/>
            </w:tabs>
          </w:pPr>
          <w:r>
            <w:fldChar w:fldCharType="begin"/>
          </w:r>
          <w:r>
            <w:instrText xml:space="preserve"> HYPERLINK \l _Toc20522 </w:instrText>
          </w:r>
          <w:r>
            <w:fldChar w:fldCharType="separate"/>
          </w:r>
          <w:r>
            <w:rPr>
              <w:rFonts w:ascii="黑体" w:hAnsi="黑体" w:eastAsia="黑体" w:cs="黑体"/>
              <w:bCs/>
              <w:szCs w:val="26"/>
            </w:rPr>
            <w:t>10.3.2 IP运营策略</w:t>
          </w:r>
          <w:r>
            <w:tab/>
          </w:r>
          <w:r>
            <w:fldChar w:fldCharType="begin"/>
          </w:r>
          <w:r>
            <w:instrText xml:space="preserve"> PAGEREF _Toc20522 \h </w:instrText>
          </w:r>
          <w:r>
            <w:fldChar w:fldCharType="separate"/>
          </w:r>
          <w:r>
            <w:t>87</w:t>
          </w:r>
          <w:r>
            <w:fldChar w:fldCharType="end"/>
          </w:r>
          <w:r>
            <w:fldChar w:fldCharType="end"/>
          </w:r>
        </w:p>
        <w:p w14:paraId="16D97FDF">
          <w:pPr>
            <w:pStyle w:val="8"/>
            <w:tabs>
              <w:tab w:val="right" w:leader="dot" w:pos="9026"/>
            </w:tabs>
          </w:pPr>
          <w:r>
            <w:fldChar w:fldCharType="begin"/>
          </w:r>
          <w:r>
            <w:instrText xml:space="preserve"> HYPERLINK \l _Toc18157 </w:instrText>
          </w:r>
          <w:r>
            <w:fldChar w:fldCharType="separate"/>
          </w:r>
          <w:r>
            <w:rPr>
              <w:rFonts w:ascii="黑体" w:hAnsi="黑体" w:eastAsia="黑体" w:cs="黑体"/>
              <w:bCs/>
              <w:szCs w:val="26"/>
            </w:rPr>
            <w:t>10.3.3 IP保护</w:t>
          </w:r>
          <w:r>
            <w:tab/>
          </w:r>
          <w:r>
            <w:fldChar w:fldCharType="begin"/>
          </w:r>
          <w:r>
            <w:instrText xml:space="preserve"> PAGEREF _Toc18157 \h </w:instrText>
          </w:r>
          <w:r>
            <w:fldChar w:fldCharType="separate"/>
          </w:r>
          <w:r>
            <w:t>87</w:t>
          </w:r>
          <w:r>
            <w:fldChar w:fldCharType="end"/>
          </w:r>
          <w:r>
            <w:fldChar w:fldCharType="end"/>
          </w:r>
        </w:p>
        <w:p w14:paraId="0C691B0E">
          <w:pPr>
            <w:pStyle w:val="12"/>
            <w:tabs>
              <w:tab w:val="right" w:leader="dot" w:pos="9026"/>
            </w:tabs>
          </w:pPr>
          <w:r>
            <w:fldChar w:fldCharType="begin"/>
          </w:r>
          <w:r>
            <w:instrText xml:space="preserve"> HYPERLINK \l _Toc20692 </w:instrText>
          </w:r>
          <w:r>
            <w:fldChar w:fldCharType="separate"/>
          </w:r>
          <w:r>
            <w:rPr>
              <w:rFonts w:ascii="黑体" w:hAnsi="黑体" w:eastAsia="黑体" w:cs="黑体"/>
              <w:bCs/>
              <w:szCs w:val="28"/>
            </w:rPr>
            <w:t>10.4 数字文创新模式</w:t>
          </w:r>
          <w:r>
            <w:tab/>
          </w:r>
          <w:r>
            <w:fldChar w:fldCharType="begin"/>
          </w:r>
          <w:r>
            <w:instrText xml:space="preserve"> PAGEREF _Toc20692 \h </w:instrText>
          </w:r>
          <w:r>
            <w:fldChar w:fldCharType="separate"/>
          </w:r>
          <w:r>
            <w:t>88</w:t>
          </w:r>
          <w:r>
            <w:fldChar w:fldCharType="end"/>
          </w:r>
          <w:r>
            <w:fldChar w:fldCharType="end"/>
          </w:r>
        </w:p>
        <w:p w14:paraId="118374B1">
          <w:pPr>
            <w:pStyle w:val="8"/>
            <w:tabs>
              <w:tab w:val="right" w:leader="dot" w:pos="9026"/>
            </w:tabs>
          </w:pPr>
          <w:r>
            <w:fldChar w:fldCharType="begin"/>
          </w:r>
          <w:r>
            <w:instrText xml:space="preserve"> HYPERLINK \l _Toc24445 </w:instrText>
          </w:r>
          <w:r>
            <w:fldChar w:fldCharType="separate"/>
          </w:r>
          <w:r>
            <w:rPr>
              <w:rFonts w:ascii="黑体" w:hAnsi="黑体" w:eastAsia="黑体" w:cs="黑体"/>
              <w:bCs/>
              <w:szCs w:val="26"/>
            </w:rPr>
            <w:t>10.4.1 数字藏品（NFT）</w:t>
          </w:r>
          <w:r>
            <w:tab/>
          </w:r>
          <w:r>
            <w:fldChar w:fldCharType="begin"/>
          </w:r>
          <w:r>
            <w:instrText xml:space="preserve"> PAGEREF _Toc24445 \h </w:instrText>
          </w:r>
          <w:r>
            <w:fldChar w:fldCharType="separate"/>
          </w:r>
          <w:r>
            <w:t>88</w:t>
          </w:r>
          <w:r>
            <w:fldChar w:fldCharType="end"/>
          </w:r>
          <w:r>
            <w:fldChar w:fldCharType="end"/>
          </w:r>
        </w:p>
        <w:p w14:paraId="6AB929E0">
          <w:pPr>
            <w:pStyle w:val="8"/>
            <w:tabs>
              <w:tab w:val="right" w:leader="dot" w:pos="9026"/>
            </w:tabs>
          </w:pPr>
          <w:r>
            <w:fldChar w:fldCharType="begin"/>
          </w:r>
          <w:r>
            <w:instrText xml:space="preserve"> HYPERLINK \l _Toc2457 </w:instrText>
          </w:r>
          <w:r>
            <w:fldChar w:fldCharType="separate"/>
          </w:r>
          <w:r>
            <w:rPr>
              <w:rFonts w:ascii="黑体" w:hAnsi="黑体" w:eastAsia="黑体" w:cs="黑体"/>
              <w:bCs/>
              <w:szCs w:val="26"/>
            </w:rPr>
            <w:t>10.4.2 AI生成文创</w:t>
          </w:r>
          <w:r>
            <w:tab/>
          </w:r>
          <w:r>
            <w:fldChar w:fldCharType="begin"/>
          </w:r>
          <w:r>
            <w:instrText xml:space="preserve"> PAGEREF _Toc2457 \h </w:instrText>
          </w:r>
          <w:r>
            <w:fldChar w:fldCharType="separate"/>
          </w:r>
          <w:r>
            <w:t>88</w:t>
          </w:r>
          <w:r>
            <w:fldChar w:fldCharType="end"/>
          </w:r>
          <w:r>
            <w:fldChar w:fldCharType="end"/>
          </w:r>
        </w:p>
        <w:p w14:paraId="151D44A6">
          <w:pPr>
            <w:pStyle w:val="8"/>
            <w:tabs>
              <w:tab w:val="right" w:leader="dot" w:pos="9026"/>
            </w:tabs>
          </w:pPr>
          <w:r>
            <w:fldChar w:fldCharType="begin"/>
          </w:r>
          <w:r>
            <w:instrText xml:space="preserve"> HYPERLINK \l _Toc14186 </w:instrText>
          </w:r>
          <w:r>
            <w:fldChar w:fldCharType="separate"/>
          </w:r>
          <w:r>
            <w:rPr>
              <w:rFonts w:ascii="黑体" w:hAnsi="黑体" w:eastAsia="黑体" w:cs="黑体"/>
              <w:bCs/>
              <w:szCs w:val="26"/>
            </w:rPr>
            <w:t>10.4.3 元宇宙文创</w:t>
          </w:r>
          <w:r>
            <w:tab/>
          </w:r>
          <w:r>
            <w:fldChar w:fldCharType="begin"/>
          </w:r>
          <w:r>
            <w:instrText xml:space="preserve"> PAGEREF _Toc14186 \h </w:instrText>
          </w:r>
          <w:r>
            <w:fldChar w:fldCharType="separate"/>
          </w:r>
          <w:r>
            <w:t>88</w:t>
          </w:r>
          <w:r>
            <w:fldChar w:fldCharType="end"/>
          </w:r>
          <w:r>
            <w:fldChar w:fldCharType="end"/>
          </w:r>
        </w:p>
        <w:p w14:paraId="259670F4">
          <w:pPr>
            <w:pStyle w:val="12"/>
            <w:tabs>
              <w:tab w:val="right" w:leader="dot" w:pos="9026"/>
            </w:tabs>
          </w:pPr>
          <w:r>
            <w:fldChar w:fldCharType="begin"/>
          </w:r>
          <w:r>
            <w:instrText xml:space="preserve"> HYPERLINK \l _Toc24118 </w:instrText>
          </w:r>
          <w:r>
            <w:fldChar w:fldCharType="separate"/>
          </w:r>
          <w:r>
            <w:rPr>
              <w:rFonts w:ascii="黑体" w:hAnsi="黑体" w:eastAsia="黑体" w:cs="黑体"/>
              <w:bCs/>
              <w:szCs w:val="28"/>
            </w:rPr>
            <w:t>10.5 文创产业生态系统建设</w:t>
          </w:r>
          <w:r>
            <w:tab/>
          </w:r>
          <w:r>
            <w:fldChar w:fldCharType="begin"/>
          </w:r>
          <w:r>
            <w:instrText xml:space="preserve"> PAGEREF _Toc24118 \h </w:instrText>
          </w:r>
          <w:r>
            <w:fldChar w:fldCharType="separate"/>
          </w:r>
          <w:r>
            <w:t>89</w:t>
          </w:r>
          <w:r>
            <w:fldChar w:fldCharType="end"/>
          </w:r>
          <w:r>
            <w:fldChar w:fldCharType="end"/>
          </w:r>
        </w:p>
        <w:p w14:paraId="0AB2CE7F">
          <w:pPr>
            <w:pStyle w:val="8"/>
            <w:tabs>
              <w:tab w:val="right" w:leader="dot" w:pos="9026"/>
            </w:tabs>
          </w:pPr>
          <w:r>
            <w:fldChar w:fldCharType="begin"/>
          </w:r>
          <w:r>
            <w:instrText xml:space="preserve"> HYPERLINK \l _Toc31491 </w:instrText>
          </w:r>
          <w:r>
            <w:fldChar w:fldCharType="separate"/>
          </w:r>
          <w:r>
            <w:rPr>
              <w:rFonts w:ascii="黑体" w:hAnsi="黑体" w:eastAsia="黑体" w:cs="黑体"/>
              <w:bCs/>
              <w:szCs w:val="26"/>
            </w:rPr>
            <w:t>10.5.1 产业链整合</w:t>
          </w:r>
          <w:r>
            <w:tab/>
          </w:r>
          <w:r>
            <w:fldChar w:fldCharType="begin"/>
          </w:r>
          <w:r>
            <w:instrText xml:space="preserve"> PAGEREF _Toc31491 \h </w:instrText>
          </w:r>
          <w:r>
            <w:fldChar w:fldCharType="separate"/>
          </w:r>
          <w:r>
            <w:t>89</w:t>
          </w:r>
          <w:r>
            <w:fldChar w:fldCharType="end"/>
          </w:r>
          <w:r>
            <w:fldChar w:fldCharType="end"/>
          </w:r>
        </w:p>
        <w:p w14:paraId="740EF670">
          <w:pPr>
            <w:pStyle w:val="8"/>
            <w:tabs>
              <w:tab w:val="right" w:leader="dot" w:pos="9026"/>
            </w:tabs>
          </w:pPr>
          <w:r>
            <w:fldChar w:fldCharType="begin"/>
          </w:r>
          <w:r>
            <w:instrText xml:space="preserve"> HYPERLINK \l _Toc19259 </w:instrText>
          </w:r>
          <w:r>
            <w:fldChar w:fldCharType="separate"/>
          </w:r>
          <w:r>
            <w:rPr>
              <w:rFonts w:ascii="黑体" w:hAnsi="黑体" w:eastAsia="黑体" w:cs="黑体"/>
              <w:bCs/>
              <w:szCs w:val="26"/>
            </w:rPr>
            <w:t>10.5.2 人才培养</w:t>
          </w:r>
          <w:r>
            <w:tab/>
          </w:r>
          <w:r>
            <w:fldChar w:fldCharType="begin"/>
          </w:r>
          <w:r>
            <w:instrText xml:space="preserve"> PAGEREF _Toc19259 \h </w:instrText>
          </w:r>
          <w:r>
            <w:fldChar w:fldCharType="separate"/>
          </w:r>
          <w:r>
            <w:t>89</w:t>
          </w:r>
          <w:r>
            <w:fldChar w:fldCharType="end"/>
          </w:r>
          <w:r>
            <w:fldChar w:fldCharType="end"/>
          </w:r>
        </w:p>
        <w:p w14:paraId="1191EB90">
          <w:pPr>
            <w:pStyle w:val="8"/>
            <w:tabs>
              <w:tab w:val="right" w:leader="dot" w:pos="9026"/>
            </w:tabs>
          </w:pPr>
          <w:r>
            <w:fldChar w:fldCharType="begin"/>
          </w:r>
          <w:r>
            <w:instrText xml:space="preserve"> HYPERLINK \l _Toc6186 </w:instrText>
          </w:r>
          <w:r>
            <w:fldChar w:fldCharType="separate"/>
          </w:r>
          <w:r>
            <w:rPr>
              <w:rFonts w:ascii="黑体" w:hAnsi="黑体" w:eastAsia="黑体" w:cs="黑体"/>
              <w:bCs/>
              <w:szCs w:val="26"/>
            </w:rPr>
            <w:t>10.5.3 社区参与</w:t>
          </w:r>
          <w:r>
            <w:tab/>
          </w:r>
          <w:r>
            <w:fldChar w:fldCharType="begin"/>
          </w:r>
          <w:r>
            <w:instrText xml:space="preserve"> PAGEREF _Toc6186 \h </w:instrText>
          </w:r>
          <w:r>
            <w:fldChar w:fldCharType="separate"/>
          </w:r>
          <w:r>
            <w:t>89</w:t>
          </w:r>
          <w:r>
            <w:fldChar w:fldCharType="end"/>
          </w:r>
          <w:r>
            <w:fldChar w:fldCharType="end"/>
          </w:r>
        </w:p>
        <w:p w14:paraId="312DBEE9">
          <w:pPr>
            <w:pStyle w:val="12"/>
            <w:tabs>
              <w:tab w:val="right" w:leader="dot" w:pos="9026"/>
            </w:tabs>
          </w:pPr>
          <w:r>
            <w:fldChar w:fldCharType="begin"/>
          </w:r>
          <w:r>
            <w:instrText xml:space="preserve"> HYPERLINK \l _Toc9289 </w:instrText>
          </w:r>
          <w:r>
            <w:fldChar w:fldCharType="separate"/>
          </w:r>
          <w:r>
            <w:rPr>
              <w:rFonts w:ascii="黑体" w:hAnsi="黑体" w:eastAsia="黑体" w:cs="黑体"/>
              <w:bCs/>
              <w:szCs w:val="28"/>
            </w:rPr>
            <w:t>本章小结</w:t>
          </w:r>
          <w:r>
            <w:tab/>
          </w:r>
          <w:r>
            <w:fldChar w:fldCharType="begin"/>
          </w:r>
          <w:r>
            <w:instrText xml:space="preserve"> PAGEREF _Toc9289 \h </w:instrText>
          </w:r>
          <w:r>
            <w:fldChar w:fldCharType="separate"/>
          </w:r>
          <w:r>
            <w:t>89</w:t>
          </w:r>
          <w:r>
            <w:fldChar w:fldCharType="end"/>
          </w:r>
          <w:r>
            <w:fldChar w:fldCharType="end"/>
          </w:r>
        </w:p>
        <w:p w14:paraId="5341EA43">
          <w:pPr>
            <w:pStyle w:val="12"/>
            <w:tabs>
              <w:tab w:val="right" w:leader="dot" w:pos="9026"/>
            </w:tabs>
          </w:pPr>
          <w:r>
            <w:fldChar w:fldCharType="begin"/>
          </w:r>
          <w:r>
            <w:instrText xml:space="preserve"> HYPERLINK \l _Toc25627 </w:instrText>
          </w:r>
          <w:r>
            <w:fldChar w:fldCharType="separate"/>
          </w:r>
          <w:r>
            <w:rPr>
              <w:rFonts w:ascii="黑体" w:hAnsi="黑体" w:eastAsia="黑体" w:cs="黑体"/>
              <w:bCs/>
              <w:szCs w:val="28"/>
            </w:rPr>
            <w:t>思考与练习</w:t>
          </w:r>
          <w:r>
            <w:tab/>
          </w:r>
          <w:r>
            <w:fldChar w:fldCharType="begin"/>
          </w:r>
          <w:r>
            <w:instrText xml:space="preserve"> PAGEREF _Toc25627 \h </w:instrText>
          </w:r>
          <w:r>
            <w:fldChar w:fldCharType="separate"/>
          </w:r>
          <w:r>
            <w:t>90</w:t>
          </w:r>
          <w:r>
            <w:fldChar w:fldCharType="end"/>
          </w:r>
          <w:r>
            <w:fldChar w:fldCharType="end"/>
          </w:r>
        </w:p>
        <w:p w14:paraId="0A23C959">
          <w:pPr>
            <w:pStyle w:val="12"/>
            <w:tabs>
              <w:tab w:val="right" w:leader="dot" w:pos="9026"/>
            </w:tabs>
          </w:pPr>
          <w:r>
            <w:fldChar w:fldCharType="begin"/>
          </w:r>
          <w:r>
            <w:instrText xml:space="preserve"> HYPERLINK \l _Toc322 </w:instrText>
          </w:r>
          <w:r>
            <w:fldChar w:fldCharType="separate"/>
          </w:r>
          <w:r>
            <w:rPr>
              <w:rFonts w:ascii="黑体" w:hAnsi="黑体" w:eastAsia="黑体" w:cs="黑体"/>
              <w:bCs/>
              <w:szCs w:val="28"/>
            </w:rPr>
            <w:t>知识卡片：文创产品开发五步法</w:t>
          </w:r>
          <w:r>
            <w:tab/>
          </w:r>
          <w:r>
            <w:fldChar w:fldCharType="begin"/>
          </w:r>
          <w:r>
            <w:instrText xml:space="preserve"> PAGEREF _Toc322 \h </w:instrText>
          </w:r>
          <w:r>
            <w:fldChar w:fldCharType="separate"/>
          </w:r>
          <w:r>
            <w:t>90</w:t>
          </w:r>
          <w:r>
            <w:fldChar w:fldCharType="end"/>
          </w:r>
          <w:r>
            <w:fldChar w:fldCharType="end"/>
          </w:r>
        </w:p>
        <w:p w14:paraId="6A3896B2">
          <w:pPr>
            <w:pStyle w:val="10"/>
            <w:tabs>
              <w:tab w:val="right" w:leader="dot" w:pos="9026"/>
            </w:tabs>
          </w:pPr>
          <w:r>
            <w:fldChar w:fldCharType="begin"/>
          </w:r>
          <w:r>
            <w:instrText xml:space="preserve"> HYPERLINK \l _Toc14435 </w:instrText>
          </w:r>
          <w:r>
            <w:fldChar w:fldCharType="separate"/>
          </w:r>
          <w:r>
            <w:rPr>
              <w:rFonts w:ascii="黑体" w:hAnsi="黑体" w:eastAsia="黑体" w:cs="黑体"/>
              <w:bCs/>
              <w:szCs w:val="32"/>
            </w:rPr>
            <w:t>第 11 章  贵州屯堡文化保护与旅游实践</w:t>
          </w:r>
          <w:r>
            <w:tab/>
          </w:r>
          <w:r>
            <w:fldChar w:fldCharType="begin"/>
          </w:r>
          <w:r>
            <w:instrText xml:space="preserve"> PAGEREF _Toc14435 \h </w:instrText>
          </w:r>
          <w:r>
            <w:fldChar w:fldCharType="separate"/>
          </w:r>
          <w:r>
            <w:t>91</w:t>
          </w:r>
          <w:r>
            <w:fldChar w:fldCharType="end"/>
          </w:r>
          <w:r>
            <w:fldChar w:fldCharType="end"/>
          </w:r>
        </w:p>
        <w:p w14:paraId="1D456945">
          <w:pPr>
            <w:pStyle w:val="12"/>
            <w:tabs>
              <w:tab w:val="right" w:leader="dot" w:pos="9026"/>
            </w:tabs>
          </w:pPr>
          <w:r>
            <w:fldChar w:fldCharType="begin"/>
          </w:r>
          <w:r>
            <w:instrText xml:space="preserve"> HYPERLINK \l _Toc14835 </w:instrText>
          </w:r>
          <w:r>
            <w:fldChar w:fldCharType="separate"/>
          </w:r>
          <w:r>
            <w:rPr>
              <w:rFonts w:ascii="黑体" w:hAnsi="黑体" w:eastAsia="黑体" w:cs="黑体"/>
              <w:bCs/>
              <w:szCs w:val="28"/>
            </w:rPr>
            <w:t>学习目标</w:t>
          </w:r>
          <w:r>
            <w:tab/>
          </w:r>
          <w:r>
            <w:fldChar w:fldCharType="begin"/>
          </w:r>
          <w:r>
            <w:instrText xml:space="preserve"> PAGEREF _Toc14835 \h </w:instrText>
          </w:r>
          <w:r>
            <w:fldChar w:fldCharType="separate"/>
          </w:r>
          <w:r>
            <w:t>91</w:t>
          </w:r>
          <w:r>
            <w:fldChar w:fldCharType="end"/>
          </w:r>
          <w:r>
            <w:fldChar w:fldCharType="end"/>
          </w:r>
        </w:p>
        <w:p w14:paraId="7DEC716F">
          <w:pPr>
            <w:pStyle w:val="12"/>
            <w:tabs>
              <w:tab w:val="right" w:leader="dot" w:pos="9026"/>
            </w:tabs>
          </w:pPr>
          <w:r>
            <w:fldChar w:fldCharType="begin"/>
          </w:r>
          <w:r>
            <w:instrText xml:space="preserve"> HYPERLINK \l _Toc2142 </w:instrText>
          </w:r>
          <w:r>
            <w:fldChar w:fldCharType="separate"/>
          </w:r>
          <w:r>
            <w:rPr>
              <w:rFonts w:ascii="黑体" w:hAnsi="黑体" w:eastAsia="黑体" w:cs="黑体"/>
              <w:bCs/>
              <w:szCs w:val="28"/>
            </w:rPr>
            <w:t>导入案例：一张世界级文化名片</w:t>
          </w:r>
          <w:r>
            <w:tab/>
          </w:r>
          <w:r>
            <w:fldChar w:fldCharType="begin"/>
          </w:r>
          <w:r>
            <w:instrText xml:space="preserve"> PAGEREF _Toc2142 \h </w:instrText>
          </w:r>
          <w:r>
            <w:fldChar w:fldCharType="separate"/>
          </w:r>
          <w:r>
            <w:t>91</w:t>
          </w:r>
          <w:r>
            <w:fldChar w:fldCharType="end"/>
          </w:r>
          <w:r>
            <w:fldChar w:fldCharType="end"/>
          </w:r>
        </w:p>
        <w:p w14:paraId="048AD5D7">
          <w:pPr>
            <w:pStyle w:val="12"/>
            <w:tabs>
              <w:tab w:val="right" w:leader="dot" w:pos="9026"/>
            </w:tabs>
          </w:pPr>
          <w:r>
            <w:fldChar w:fldCharType="begin"/>
          </w:r>
          <w:r>
            <w:instrText xml:space="preserve"> HYPERLINK \l _Toc3065 </w:instrText>
          </w:r>
          <w:r>
            <w:fldChar w:fldCharType="separate"/>
          </w:r>
          <w:r>
            <w:rPr>
              <w:rFonts w:ascii="黑体" w:hAnsi="黑体" w:eastAsia="黑体" w:cs="黑体"/>
              <w:bCs/>
              <w:szCs w:val="28"/>
            </w:rPr>
            <w:t>11.1 政策框架与战略定位</w:t>
          </w:r>
          <w:r>
            <w:tab/>
          </w:r>
          <w:r>
            <w:fldChar w:fldCharType="begin"/>
          </w:r>
          <w:r>
            <w:instrText xml:space="preserve"> PAGEREF _Toc3065 \h </w:instrText>
          </w:r>
          <w:r>
            <w:fldChar w:fldCharType="separate"/>
          </w:r>
          <w:r>
            <w:t>91</w:t>
          </w:r>
          <w:r>
            <w:fldChar w:fldCharType="end"/>
          </w:r>
          <w:r>
            <w:fldChar w:fldCharType="end"/>
          </w:r>
        </w:p>
        <w:p w14:paraId="4BF3B936">
          <w:pPr>
            <w:pStyle w:val="8"/>
            <w:tabs>
              <w:tab w:val="right" w:leader="dot" w:pos="9026"/>
            </w:tabs>
          </w:pPr>
          <w:r>
            <w:fldChar w:fldCharType="begin"/>
          </w:r>
          <w:r>
            <w:instrText xml:space="preserve"> HYPERLINK \l _Toc15364 </w:instrText>
          </w:r>
          <w:r>
            <w:fldChar w:fldCharType="separate"/>
          </w:r>
          <w:r>
            <w:rPr>
              <w:rFonts w:ascii="黑体" w:hAnsi="黑体" w:eastAsia="黑体" w:cs="黑体"/>
              <w:bCs/>
              <w:szCs w:val="26"/>
            </w:rPr>
            <w:t>11.1.1 贵州"四大文化工程"中的屯堡文化</w:t>
          </w:r>
          <w:r>
            <w:tab/>
          </w:r>
          <w:r>
            <w:fldChar w:fldCharType="begin"/>
          </w:r>
          <w:r>
            <w:instrText xml:space="preserve"> PAGEREF _Toc15364 \h </w:instrText>
          </w:r>
          <w:r>
            <w:fldChar w:fldCharType="separate"/>
          </w:r>
          <w:r>
            <w:t>91</w:t>
          </w:r>
          <w:r>
            <w:fldChar w:fldCharType="end"/>
          </w:r>
          <w:r>
            <w:fldChar w:fldCharType="end"/>
          </w:r>
        </w:p>
        <w:p w14:paraId="6FCF087F">
          <w:pPr>
            <w:pStyle w:val="8"/>
            <w:tabs>
              <w:tab w:val="right" w:leader="dot" w:pos="9026"/>
            </w:tabs>
          </w:pPr>
          <w:r>
            <w:fldChar w:fldCharType="begin"/>
          </w:r>
          <w:r>
            <w:instrText xml:space="preserve"> HYPERLINK \l _Toc9464 </w:instrText>
          </w:r>
          <w:r>
            <w:fldChar w:fldCharType="separate"/>
          </w:r>
          <w:r>
            <w:rPr>
              <w:rFonts w:ascii="黑体" w:hAnsi="黑体" w:eastAsia="黑体" w:cs="黑体"/>
              <w:bCs/>
              <w:szCs w:val="26"/>
            </w:rPr>
            <w:t>11.1.2 国家文物保护利用示范区</w:t>
          </w:r>
          <w:r>
            <w:tab/>
          </w:r>
          <w:r>
            <w:fldChar w:fldCharType="begin"/>
          </w:r>
          <w:r>
            <w:instrText xml:space="preserve"> PAGEREF _Toc9464 \h </w:instrText>
          </w:r>
          <w:r>
            <w:fldChar w:fldCharType="separate"/>
          </w:r>
          <w:r>
            <w:t>92</w:t>
          </w:r>
          <w:r>
            <w:fldChar w:fldCharType="end"/>
          </w:r>
          <w:r>
            <w:fldChar w:fldCharType="end"/>
          </w:r>
        </w:p>
        <w:p w14:paraId="4AD76026">
          <w:pPr>
            <w:pStyle w:val="8"/>
            <w:tabs>
              <w:tab w:val="right" w:leader="dot" w:pos="9026"/>
            </w:tabs>
          </w:pPr>
          <w:r>
            <w:fldChar w:fldCharType="begin"/>
          </w:r>
          <w:r>
            <w:instrText xml:space="preserve"> HYPERLINK \l _Toc16850 </w:instrText>
          </w:r>
          <w:r>
            <w:fldChar w:fldCharType="separate"/>
          </w:r>
          <w:r>
            <w:rPr>
              <w:rFonts w:ascii="黑体" w:hAnsi="黑体" w:eastAsia="黑体" w:cs="黑体"/>
              <w:bCs/>
              <w:szCs w:val="26"/>
            </w:rPr>
            <w:t>11.1.3 地方政策支持</w:t>
          </w:r>
          <w:r>
            <w:tab/>
          </w:r>
          <w:r>
            <w:fldChar w:fldCharType="begin"/>
          </w:r>
          <w:r>
            <w:instrText xml:space="preserve"> PAGEREF _Toc16850 \h </w:instrText>
          </w:r>
          <w:r>
            <w:fldChar w:fldCharType="separate"/>
          </w:r>
          <w:r>
            <w:t>92</w:t>
          </w:r>
          <w:r>
            <w:fldChar w:fldCharType="end"/>
          </w:r>
          <w:r>
            <w:fldChar w:fldCharType="end"/>
          </w:r>
        </w:p>
        <w:p w14:paraId="6247CAC6">
          <w:pPr>
            <w:pStyle w:val="12"/>
            <w:tabs>
              <w:tab w:val="right" w:leader="dot" w:pos="9026"/>
            </w:tabs>
          </w:pPr>
          <w:r>
            <w:fldChar w:fldCharType="begin"/>
          </w:r>
          <w:r>
            <w:instrText xml:space="preserve"> HYPERLINK \l _Toc23384 </w:instrText>
          </w:r>
          <w:r>
            <w:fldChar w:fldCharType="separate"/>
          </w:r>
          <w:r>
            <w:rPr>
              <w:rFonts w:ascii="黑体" w:hAnsi="黑体" w:eastAsia="黑体" w:cs="黑体"/>
              <w:bCs/>
              <w:szCs w:val="28"/>
            </w:rPr>
            <w:t>11.2 核心村寨的保护与实践</w:t>
          </w:r>
          <w:r>
            <w:tab/>
          </w:r>
          <w:r>
            <w:fldChar w:fldCharType="begin"/>
          </w:r>
          <w:r>
            <w:instrText xml:space="preserve"> PAGEREF _Toc23384 \h </w:instrText>
          </w:r>
          <w:r>
            <w:fldChar w:fldCharType="separate"/>
          </w:r>
          <w:r>
            <w:t>92</w:t>
          </w:r>
          <w:r>
            <w:fldChar w:fldCharType="end"/>
          </w:r>
          <w:r>
            <w:fldChar w:fldCharType="end"/>
          </w:r>
        </w:p>
        <w:p w14:paraId="5787410C">
          <w:pPr>
            <w:pStyle w:val="8"/>
            <w:tabs>
              <w:tab w:val="right" w:leader="dot" w:pos="9026"/>
            </w:tabs>
          </w:pPr>
          <w:r>
            <w:fldChar w:fldCharType="begin"/>
          </w:r>
          <w:r>
            <w:instrText xml:space="preserve"> HYPERLINK \l _Toc6393 </w:instrText>
          </w:r>
          <w:r>
            <w:fldChar w:fldCharType="separate"/>
          </w:r>
          <w:r>
            <w:rPr>
              <w:rFonts w:ascii="黑体" w:hAnsi="黑体" w:eastAsia="黑体" w:cs="黑体"/>
              <w:bCs/>
              <w:szCs w:val="26"/>
            </w:rPr>
            <w:t>11.2.1 天龙屯堡：旅游开发的先行者与转型者</w:t>
          </w:r>
          <w:r>
            <w:tab/>
          </w:r>
          <w:r>
            <w:fldChar w:fldCharType="begin"/>
          </w:r>
          <w:r>
            <w:instrText xml:space="preserve"> PAGEREF _Toc6393 \h </w:instrText>
          </w:r>
          <w:r>
            <w:fldChar w:fldCharType="separate"/>
          </w:r>
          <w:r>
            <w:t>93</w:t>
          </w:r>
          <w:r>
            <w:fldChar w:fldCharType="end"/>
          </w:r>
          <w:r>
            <w:fldChar w:fldCharType="end"/>
          </w:r>
        </w:p>
        <w:p w14:paraId="32AE56C4">
          <w:pPr>
            <w:pStyle w:val="8"/>
            <w:tabs>
              <w:tab w:val="right" w:leader="dot" w:pos="9026"/>
            </w:tabs>
          </w:pPr>
          <w:r>
            <w:fldChar w:fldCharType="begin"/>
          </w:r>
          <w:r>
            <w:instrText xml:space="preserve"> HYPERLINK \l _Toc29224 </w:instrText>
          </w:r>
          <w:r>
            <w:fldChar w:fldCharType="separate"/>
          </w:r>
          <w:r>
            <w:rPr>
              <w:rFonts w:ascii="黑体" w:hAnsi="黑体" w:eastAsia="黑体" w:cs="黑体"/>
              <w:bCs/>
              <w:szCs w:val="26"/>
            </w:rPr>
            <w:t>11.2.2 本寨：以建筑保护为核心的"活态博物馆"</w:t>
          </w:r>
          <w:r>
            <w:tab/>
          </w:r>
          <w:r>
            <w:fldChar w:fldCharType="begin"/>
          </w:r>
          <w:r>
            <w:instrText xml:space="preserve"> PAGEREF _Toc29224 \h </w:instrText>
          </w:r>
          <w:r>
            <w:fldChar w:fldCharType="separate"/>
          </w:r>
          <w:r>
            <w:t>93</w:t>
          </w:r>
          <w:r>
            <w:fldChar w:fldCharType="end"/>
          </w:r>
          <w:r>
            <w:fldChar w:fldCharType="end"/>
          </w:r>
        </w:p>
        <w:p w14:paraId="58AA2B6B">
          <w:pPr>
            <w:pStyle w:val="8"/>
            <w:tabs>
              <w:tab w:val="right" w:leader="dot" w:pos="9026"/>
            </w:tabs>
          </w:pPr>
          <w:r>
            <w:fldChar w:fldCharType="begin"/>
          </w:r>
          <w:r>
            <w:instrText xml:space="preserve"> HYPERLINK \l _Toc24149 </w:instrText>
          </w:r>
          <w:r>
            <w:fldChar w:fldCharType="separate"/>
          </w:r>
          <w:r>
            <w:rPr>
              <w:rFonts w:ascii="黑体" w:hAnsi="黑体" w:eastAsia="黑体" w:cs="黑体"/>
              <w:bCs/>
              <w:szCs w:val="26"/>
            </w:rPr>
            <w:t>11.2.3 云山屯：山居文化与生态旅游</w:t>
          </w:r>
          <w:r>
            <w:tab/>
          </w:r>
          <w:r>
            <w:fldChar w:fldCharType="begin"/>
          </w:r>
          <w:r>
            <w:instrText xml:space="preserve"> PAGEREF _Toc24149 \h </w:instrText>
          </w:r>
          <w:r>
            <w:fldChar w:fldCharType="separate"/>
          </w:r>
          <w:r>
            <w:t>93</w:t>
          </w:r>
          <w:r>
            <w:fldChar w:fldCharType="end"/>
          </w:r>
          <w:r>
            <w:fldChar w:fldCharType="end"/>
          </w:r>
        </w:p>
        <w:p w14:paraId="5F8A9A3E">
          <w:pPr>
            <w:pStyle w:val="8"/>
            <w:tabs>
              <w:tab w:val="right" w:leader="dot" w:pos="9026"/>
            </w:tabs>
          </w:pPr>
          <w:r>
            <w:fldChar w:fldCharType="begin"/>
          </w:r>
          <w:r>
            <w:instrText xml:space="preserve"> HYPERLINK \l _Toc26837 </w:instrText>
          </w:r>
          <w:r>
            <w:fldChar w:fldCharType="separate"/>
          </w:r>
          <w:r>
            <w:rPr>
              <w:rFonts w:ascii="黑体" w:hAnsi="黑体" w:eastAsia="黑体" w:cs="黑体"/>
              <w:bCs/>
              <w:szCs w:val="26"/>
            </w:rPr>
            <w:t>11.2.4 鲍家屯：农业文化遗产的活化利用</w:t>
          </w:r>
          <w:r>
            <w:tab/>
          </w:r>
          <w:r>
            <w:fldChar w:fldCharType="begin"/>
          </w:r>
          <w:r>
            <w:instrText xml:space="preserve"> PAGEREF _Toc26837 \h </w:instrText>
          </w:r>
          <w:r>
            <w:fldChar w:fldCharType="separate"/>
          </w:r>
          <w:r>
            <w:t>94</w:t>
          </w:r>
          <w:r>
            <w:fldChar w:fldCharType="end"/>
          </w:r>
          <w:r>
            <w:fldChar w:fldCharType="end"/>
          </w:r>
        </w:p>
        <w:p w14:paraId="2CDA8A19">
          <w:pPr>
            <w:pStyle w:val="8"/>
            <w:tabs>
              <w:tab w:val="right" w:leader="dot" w:pos="9026"/>
            </w:tabs>
          </w:pPr>
          <w:r>
            <w:fldChar w:fldCharType="begin"/>
          </w:r>
          <w:r>
            <w:instrText xml:space="preserve"> HYPERLINK \l _Toc31147 </w:instrText>
          </w:r>
          <w:r>
            <w:fldChar w:fldCharType="separate"/>
          </w:r>
          <w:r>
            <w:rPr>
              <w:rFonts w:ascii="黑体" w:hAnsi="黑体" w:eastAsia="黑体" w:cs="黑体"/>
              <w:bCs/>
              <w:szCs w:val="26"/>
            </w:rPr>
            <w:t>11.2.5 旧州古镇：多元文化融合的典范</w:t>
          </w:r>
          <w:r>
            <w:tab/>
          </w:r>
          <w:r>
            <w:fldChar w:fldCharType="begin"/>
          </w:r>
          <w:r>
            <w:instrText xml:space="preserve"> PAGEREF _Toc31147 \h </w:instrText>
          </w:r>
          <w:r>
            <w:fldChar w:fldCharType="separate"/>
          </w:r>
          <w:r>
            <w:t>94</w:t>
          </w:r>
          <w:r>
            <w:fldChar w:fldCharType="end"/>
          </w:r>
          <w:r>
            <w:fldChar w:fldCharType="end"/>
          </w:r>
        </w:p>
        <w:p w14:paraId="53C4D7EB">
          <w:pPr>
            <w:pStyle w:val="12"/>
            <w:tabs>
              <w:tab w:val="right" w:leader="dot" w:pos="9026"/>
            </w:tabs>
          </w:pPr>
          <w:r>
            <w:fldChar w:fldCharType="begin"/>
          </w:r>
          <w:r>
            <w:instrText xml:space="preserve"> HYPERLINK \l _Toc7638 </w:instrText>
          </w:r>
          <w:r>
            <w:fldChar w:fldCharType="separate"/>
          </w:r>
          <w:r>
            <w:rPr>
              <w:rFonts w:ascii="黑体" w:hAnsi="黑体" w:eastAsia="黑体" w:cs="黑体"/>
              <w:bCs/>
              <w:szCs w:val="28"/>
            </w:rPr>
            <w:t>11.3 新技术在屯堡文旅中的应用</w:t>
          </w:r>
          <w:r>
            <w:tab/>
          </w:r>
          <w:r>
            <w:fldChar w:fldCharType="begin"/>
          </w:r>
          <w:r>
            <w:instrText xml:space="preserve"> PAGEREF _Toc7638 \h </w:instrText>
          </w:r>
          <w:r>
            <w:fldChar w:fldCharType="separate"/>
          </w:r>
          <w:r>
            <w:t>94</w:t>
          </w:r>
          <w:r>
            <w:fldChar w:fldCharType="end"/>
          </w:r>
          <w:r>
            <w:fldChar w:fldCharType="end"/>
          </w:r>
        </w:p>
        <w:p w14:paraId="664BD075">
          <w:pPr>
            <w:pStyle w:val="8"/>
            <w:tabs>
              <w:tab w:val="right" w:leader="dot" w:pos="9026"/>
            </w:tabs>
          </w:pPr>
          <w:r>
            <w:fldChar w:fldCharType="begin"/>
          </w:r>
          <w:r>
            <w:instrText xml:space="preserve"> HYPERLINK \l _Toc13887 </w:instrText>
          </w:r>
          <w:r>
            <w:fldChar w:fldCharType="separate"/>
          </w:r>
          <w:r>
            <w:rPr>
              <w:rFonts w:ascii="黑体" w:hAnsi="黑体" w:eastAsia="黑体" w:cs="黑体"/>
              <w:bCs/>
              <w:szCs w:val="26"/>
            </w:rPr>
            <w:t>11.3.1 5G+AI赋能</w:t>
          </w:r>
          <w:r>
            <w:tab/>
          </w:r>
          <w:r>
            <w:fldChar w:fldCharType="begin"/>
          </w:r>
          <w:r>
            <w:instrText xml:space="preserve"> PAGEREF _Toc13887 \h </w:instrText>
          </w:r>
          <w:r>
            <w:fldChar w:fldCharType="separate"/>
          </w:r>
          <w:r>
            <w:t>95</w:t>
          </w:r>
          <w:r>
            <w:fldChar w:fldCharType="end"/>
          </w:r>
          <w:r>
            <w:fldChar w:fldCharType="end"/>
          </w:r>
        </w:p>
        <w:p w14:paraId="646F16D8">
          <w:pPr>
            <w:pStyle w:val="8"/>
            <w:tabs>
              <w:tab w:val="right" w:leader="dot" w:pos="9026"/>
            </w:tabs>
          </w:pPr>
          <w:r>
            <w:fldChar w:fldCharType="begin"/>
          </w:r>
          <w:r>
            <w:instrText xml:space="preserve"> HYPERLINK \l _Toc892 </w:instrText>
          </w:r>
          <w:r>
            <w:fldChar w:fldCharType="separate"/>
          </w:r>
          <w:r>
            <w:rPr>
              <w:rFonts w:ascii="黑体" w:hAnsi="黑体" w:eastAsia="黑体" w:cs="黑体"/>
              <w:bCs/>
              <w:szCs w:val="26"/>
            </w:rPr>
            <w:t>11.3.2 数字孪生与智慧管理</w:t>
          </w:r>
          <w:r>
            <w:tab/>
          </w:r>
          <w:r>
            <w:fldChar w:fldCharType="begin"/>
          </w:r>
          <w:r>
            <w:instrText xml:space="preserve"> PAGEREF _Toc892 \h </w:instrText>
          </w:r>
          <w:r>
            <w:fldChar w:fldCharType="separate"/>
          </w:r>
          <w:r>
            <w:t>95</w:t>
          </w:r>
          <w:r>
            <w:fldChar w:fldCharType="end"/>
          </w:r>
          <w:r>
            <w:fldChar w:fldCharType="end"/>
          </w:r>
        </w:p>
        <w:p w14:paraId="1BF4A2C8">
          <w:pPr>
            <w:pStyle w:val="8"/>
            <w:tabs>
              <w:tab w:val="right" w:leader="dot" w:pos="9026"/>
            </w:tabs>
          </w:pPr>
          <w:r>
            <w:fldChar w:fldCharType="begin"/>
          </w:r>
          <w:r>
            <w:instrText xml:space="preserve"> HYPERLINK \l _Toc10439 </w:instrText>
          </w:r>
          <w:r>
            <w:fldChar w:fldCharType="separate"/>
          </w:r>
          <w:r>
            <w:rPr>
              <w:rFonts w:ascii="黑体" w:hAnsi="黑体" w:eastAsia="黑体" w:cs="黑体"/>
              <w:bCs/>
              <w:szCs w:val="26"/>
            </w:rPr>
            <w:t>11.3.3 新媒体传播</w:t>
          </w:r>
          <w:r>
            <w:tab/>
          </w:r>
          <w:r>
            <w:fldChar w:fldCharType="begin"/>
          </w:r>
          <w:r>
            <w:instrText xml:space="preserve"> PAGEREF _Toc10439 \h </w:instrText>
          </w:r>
          <w:r>
            <w:fldChar w:fldCharType="separate"/>
          </w:r>
          <w:r>
            <w:t>95</w:t>
          </w:r>
          <w:r>
            <w:fldChar w:fldCharType="end"/>
          </w:r>
          <w:r>
            <w:fldChar w:fldCharType="end"/>
          </w:r>
        </w:p>
        <w:p w14:paraId="4FE1B398">
          <w:pPr>
            <w:pStyle w:val="12"/>
            <w:tabs>
              <w:tab w:val="right" w:leader="dot" w:pos="9026"/>
            </w:tabs>
          </w:pPr>
          <w:r>
            <w:fldChar w:fldCharType="begin"/>
          </w:r>
          <w:r>
            <w:instrText xml:space="preserve"> HYPERLINK \l _Toc24715 </w:instrText>
          </w:r>
          <w:r>
            <w:fldChar w:fldCharType="separate"/>
          </w:r>
          <w:r>
            <w:rPr>
              <w:rFonts w:ascii="黑体" w:hAnsi="黑体" w:eastAsia="黑体" w:cs="黑体"/>
              <w:bCs/>
              <w:szCs w:val="28"/>
            </w:rPr>
            <w:t>11.4 非遗工坊与传承人培育</w:t>
          </w:r>
          <w:r>
            <w:tab/>
          </w:r>
          <w:r>
            <w:fldChar w:fldCharType="begin"/>
          </w:r>
          <w:r>
            <w:instrText xml:space="preserve"> PAGEREF _Toc24715 \h </w:instrText>
          </w:r>
          <w:r>
            <w:fldChar w:fldCharType="separate"/>
          </w:r>
          <w:r>
            <w:t>95</w:t>
          </w:r>
          <w:r>
            <w:fldChar w:fldCharType="end"/>
          </w:r>
          <w:r>
            <w:fldChar w:fldCharType="end"/>
          </w:r>
        </w:p>
        <w:p w14:paraId="6BF093BE">
          <w:pPr>
            <w:pStyle w:val="8"/>
            <w:tabs>
              <w:tab w:val="right" w:leader="dot" w:pos="9026"/>
            </w:tabs>
          </w:pPr>
          <w:r>
            <w:fldChar w:fldCharType="begin"/>
          </w:r>
          <w:r>
            <w:instrText xml:space="preserve"> HYPERLINK \l _Toc5699 </w:instrText>
          </w:r>
          <w:r>
            <w:fldChar w:fldCharType="separate"/>
          </w:r>
          <w:r>
            <w:rPr>
              <w:rFonts w:ascii="黑体" w:hAnsi="黑体" w:eastAsia="黑体" w:cs="黑体"/>
              <w:bCs/>
              <w:szCs w:val="26"/>
            </w:rPr>
            <w:t>11.4.1 非遗工坊建设</w:t>
          </w:r>
          <w:r>
            <w:tab/>
          </w:r>
          <w:r>
            <w:fldChar w:fldCharType="begin"/>
          </w:r>
          <w:r>
            <w:instrText xml:space="preserve"> PAGEREF _Toc5699 \h </w:instrText>
          </w:r>
          <w:r>
            <w:fldChar w:fldCharType="separate"/>
          </w:r>
          <w:r>
            <w:t>95</w:t>
          </w:r>
          <w:r>
            <w:fldChar w:fldCharType="end"/>
          </w:r>
          <w:r>
            <w:fldChar w:fldCharType="end"/>
          </w:r>
        </w:p>
        <w:p w14:paraId="4A1945B5">
          <w:pPr>
            <w:pStyle w:val="8"/>
            <w:tabs>
              <w:tab w:val="right" w:leader="dot" w:pos="9026"/>
            </w:tabs>
          </w:pPr>
          <w:r>
            <w:fldChar w:fldCharType="begin"/>
          </w:r>
          <w:r>
            <w:instrText xml:space="preserve"> HYPERLINK \l _Toc8770 </w:instrText>
          </w:r>
          <w:r>
            <w:fldChar w:fldCharType="separate"/>
          </w:r>
          <w:r>
            <w:rPr>
              <w:rFonts w:ascii="黑体" w:hAnsi="黑体" w:eastAsia="黑体" w:cs="黑体"/>
              <w:bCs/>
              <w:szCs w:val="26"/>
            </w:rPr>
            <w:t>11.4.2 传承人培育</w:t>
          </w:r>
          <w:r>
            <w:tab/>
          </w:r>
          <w:r>
            <w:fldChar w:fldCharType="begin"/>
          </w:r>
          <w:r>
            <w:instrText xml:space="preserve"> PAGEREF _Toc8770 \h </w:instrText>
          </w:r>
          <w:r>
            <w:fldChar w:fldCharType="separate"/>
          </w:r>
          <w:r>
            <w:t>96</w:t>
          </w:r>
          <w:r>
            <w:fldChar w:fldCharType="end"/>
          </w:r>
          <w:r>
            <w:fldChar w:fldCharType="end"/>
          </w:r>
        </w:p>
        <w:p w14:paraId="52C389E9">
          <w:pPr>
            <w:pStyle w:val="8"/>
            <w:tabs>
              <w:tab w:val="right" w:leader="dot" w:pos="9026"/>
            </w:tabs>
          </w:pPr>
          <w:r>
            <w:fldChar w:fldCharType="begin"/>
          </w:r>
          <w:r>
            <w:instrText xml:space="preserve"> HYPERLINK \l _Toc27201 </w:instrText>
          </w:r>
          <w:r>
            <w:fldChar w:fldCharType="separate"/>
          </w:r>
          <w:r>
            <w:rPr>
              <w:rFonts w:ascii="黑体" w:hAnsi="黑体" w:eastAsia="黑体" w:cs="黑体"/>
              <w:bCs/>
              <w:szCs w:val="26"/>
            </w:rPr>
            <w:t>11.4.3 非遗进校园</w:t>
          </w:r>
          <w:r>
            <w:tab/>
          </w:r>
          <w:r>
            <w:fldChar w:fldCharType="begin"/>
          </w:r>
          <w:r>
            <w:instrText xml:space="preserve"> PAGEREF _Toc27201 \h </w:instrText>
          </w:r>
          <w:r>
            <w:fldChar w:fldCharType="separate"/>
          </w:r>
          <w:r>
            <w:t>96</w:t>
          </w:r>
          <w:r>
            <w:fldChar w:fldCharType="end"/>
          </w:r>
          <w:r>
            <w:fldChar w:fldCharType="end"/>
          </w:r>
        </w:p>
        <w:p w14:paraId="65D7A1F0">
          <w:pPr>
            <w:pStyle w:val="12"/>
            <w:tabs>
              <w:tab w:val="right" w:leader="dot" w:pos="9026"/>
            </w:tabs>
          </w:pPr>
          <w:r>
            <w:fldChar w:fldCharType="begin"/>
          </w:r>
          <w:r>
            <w:instrText xml:space="preserve"> HYPERLINK \l _Toc13308 </w:instrText>
          </w:r>
          <w:r>
            <w:fldChar w:fldCharType="separate"/>
          </w:r>
          <w:r>
            <w:rPr>
              <w:rFonts w:ascii="黑体" w:hAnsi="黑体" w:eastAsia="黑体" w:cs="黑体"/>
              <w:bCs/>
              <w:szCs w:val="28"/>
            </w:rPr>
            <w:t>11.5 实践成效与挑战</w:t>
          </w:r>
          <w:r>
            <w:tab/>
          </w:r>
          <w:r>
            <w:fldChar w:fldCharType="begin"/>
          </w:r>
          <w:r>
            <w:instrText xml:space="preserve"> PAGEREF _Toc13308 \h </w:instrText>
          </w:r>
          <w:r>
            <w:fldChar w:fldCharType="separate"/>
          </w:r>
          <w:r>
            <w:t>96</w:t>
          </w:r>
          <w:r>
            <w:fldChar w:fldCharType="end"/>
          </w:r>
          <w:r>
            <w:fldChar w:fldCharType="end"/>
          </w:r>
        </w:p>
        <w:p w14:paraId="42244AED">
          <w:pPr>
            <w:pStyle w:val="8"/>
            <w:tabs>
              <w:tab w:val="right" w:leader="dot" w:pos="9026"/>
            </w:tabs>
          </w:pPr>
          <w:r>
            <w:fldChar w:fldCharType="begin"/>
          </w:r>
          <w:r>
            <w:instrText xml:space="preserve"> HYPERLINK \l _Toc150 </w:instrText>
          </w:r>
          <w:r>
            <w:fldChar w:fldCharType="separate"/>
          </w:r>
          <w:r>
            <w:rPr>
              <w:rFonts w:ascii="黑体" w:hAnsi="黑体" w:eastAsia="黑体" w:cs="黑体"/>
              <w:bCs/>
              <w:szCs w:val="26"/>
            </w:rPr>
            <w:t>11.5.1 主要成效</w:t>
          </w:r>
          <w:r>
            <w:tab/>
          </w:r>
          <w:r>
            <w:fldChar w:fldCharType="begin"/>
          </w:r>
          <w:r>
            <w:instrText xml:space="preserve"> PAGEREF _Toc150 \h </w:instrText>
          </w:r>
          <w:r>
            <w:fldChar w:fldCharType="separate"/>
          </w:r>
          <w:r>
            <w:t>96</w:t>
          </w:r>
          <w:r>
            <w:fldChar w:fldCharType="end"/>
          </w:r>
          <w:r>
            <w:fldChar w:fldCharType="end"/>
          </w:r>
        </w:p>
        <w:p w14:paraId="17EDE144">
          <w:pPr>
            <w:pStyle w:val="8"/>
            <w:tabs>
              <w:tab w:val="right" w:leader="dot" w:pos="9026"/>
            </w:tabs>
          </w:pPr>
          <w:r>
            <w:fldChar w:fldCharType="begin"/>
          </w:r>
          <w:r>
            <w:instrText xml:space="preserve"> HYPERLINK \l _Toc12439 </w:instrText>
          </w:r>
          <w:r>
            <w:fldChar w:fldCharType="separate"/>
          </w:r>
          <w:r>
            <w:rPr>
              <w:rFonts w:ascii="黑体" w:hAnsi="黑体" w:eastAsia="黑体" w:cs="黑体"/>
              <w:bCs/>
              <w:szCs w:val="26"/>
            </w:rPr>
            <w:t>11.5.2 面临挑战</w:t>
          </w:r>
          <w:r>
            <w:tab/>
          </w:r>
          <w:r>
            <w:fldChar w:fldCharType="begin"/>
          </w:r>
          <w:r>
            <w:instrText xml:space="preserve"> PAGEREF _Toc12439 \h </w:instrText>
          </w:r>
          <w:r>
            <w:fldChar w:fldCharType="separate"/>
          </w:r>
          <w:r>
            <w:t>97</w:t>
          </w:r>
          <w:r>
            <w:fldChar w:fldCharType="end"/>
          </w:r>
          <w:r>
            <w:fldChar w:fldCharType="end"/>
          </w:r>
        </w:p>
        <w:p w14:paraId="0723180B">
          <w:pPr>
            <w:pStyle w:val="12"/>
            <w:tabs>
              <w:tab w:val="right" w:leader="dot" w:pos="9026"/>
            </w:tabs>
          </w:pPr>
          <w:r>
            <w:fldChar w:fldCharType="begin"/>
          </w:r>
          <w:r>
            <w:instrText xml:space="preserve"> HYPERLINK \l _Toc26008 </w:instrText>
          </w:r>
          <w:r>
            <w:fldChar w:fldCharType="separate"/>
          </w:r>
          <w:r>
            <w:rPr>
              <w:rFonts w:ascii="黑体" w:hAnsi="黑体" w:eastAsia="黑体" w:cs="黑体"/>
              <w:bCs/>
              <w:szCs w:val="28"/>
            </w:rPr>
            <w:t>本章小结</w:t>
          </w:r>
          <w:r>
            <w:tab/>
          </w:r>
          <w:r>
            <w:fldChar w:fldCharType="begin"/>
          </w:r>
          <w:r>
            <w:instrText xml:space="preserve"> PAGEREF _Toc26008 \h </w:instrText>
          </w:r>
          <w:r>
            <w:fldChar w:fldCharType="separate"/>
          </w:r>
          <w:r>
            <w:t>97</w:t>
          </w:r>
          <w:r>
            <w:fldChar w:fldCharType="end"/>
          </w:r>
          <w:r>
            <w:fldChar w:fldCharType="end"/>
          </w:r>
        </w:p>
        <w:p w14:paraId="4913D620">
          <w:pPr>
            <w:pStyle w:val="12"/>
            <w:tabs>
              <w:tab w:val="right" w:leader="dot" w:pos="9026"/>
            </w:tabs>
          </w:pPr>
          <w:r>
            <w:fldChar w:fldCharType="begin"/>
          </w:r>
          <w:r>
            <w:instrText xml:space="preserve"> HYPERLINK \l _Toc9274 </w:instrText>
          </w:r>
          <w:r>
            <w:fldChar w:fldCharType="separate"/>
          </w:r>
          <w:r>
            <w:rPr>
              <w:rFonts w:ascii="黑体" w:hAnsi="黑体" w:eastAsia="黑体" w:cs="黑体"/>
              <w:bCs/>
              <w:szCs w:val="28"/>
            </w:rPr>
            <w:t>思考与练习</w:t>
          </w:r>
          <w:r>
            <w:tab/>
          </w:r>
          <w:r>
            <w:fldChar w:fldCharType="begin"/>
          </w:r>
          <w:r>
            <w:instrText xml:space="preserve"> PAGEREF _Toc9274 \h </w:instrText>
          </w:r>
          <w:r>
            <w:fldChar w:fldCharType="separate"/>
          </w:r>
          <w:r>
            <w:t>97</w:t>
          </w:r>
          <w:r>
            <w:fldChar w:fldCharType="end"/>
          </w:r>
          <w:r>
            <w:fldChar w:fldCharType="end"/>
          </w:r>
        </w:p>
        <w:p w14:paraId="0A4D823D">
          <w:pPr>
            <w:pStyle w:val="12"/>
            <w:tabs>
              <w:tab w:val="right" w:leader="dot" w:pos="9026"/>
            </w:tabs>
          </w:pPr>
          <w:r>
            <w:fldChar w:fldCharType="begin"/>
          </w:r>
          <w:r>
            <w:instrText xml:space="preserve"> HYPERLINK \l _Toc2387 </w:instrText>
          </w:r>
          <w:r>
            <w:fldChar w:fldCharType="separate"/>
          </w:r>
          <w:r>
            <w:rPr>
              <w:rFonts w:ascii="黑体" w:hAnsi="黑体" w:eastAsia="黑体" w:cs="黑体"/>
              <w:bCs/>
              <w:szCs w:val="28"/>
            </w:rPr>
            <w:t>知识卡片：屯堡核心村寨差异化定位</w:t>
          </w:r>
          <w:r>
            <w:tab/>
          </w:r>
          <w:r>
            <w:fldChar w:fldCharType="begin"/>
          </w:r>
          <w:r>
            <w:instrText xml:space="preserve"> PAGEREF _Toc2387 \h </w:instrText>
          </w:r>
          <w:r>
            <w:fldChar w:fldCharType="separate"/>
          </w:r>
          <w:r>
            <w:t>97</w:t>
          </w:r>
          <w:r>
            <w:fldChar w:fldCharType="end"/>
          </w:r>
          <w:r>
            <w:fldChar w:fldCharType="end"/>
          </w:r>
        </w:p>
        <w:p w14:paraId="3684F307">
          <w:pPr>
            <w:pStyle w:val="10"/>
            <w:tabs>
              <w:tab w:val="right" w:leader="dot" w:pos="9026"/>
            </w:tabs>
          </w:pPr>
          <w:r>
            <w:fldChar w:fldCharType="begin"/>
          </w:r>
          <w:r>
            <w:instrText xml:space="preserve"> HYPERLINK \l _Toc2362 </w:instrText>
          </w:r>
          <w:r>
            <w:fldChar w:fldCharType="separate"/>
          </w:r>
          <w:r>
            <w:rPr>
              <w:rFonts w:ascii="黑体" w:hAnsi="黑体" w:eastAsia="黑体" w:cs="黑体"/>
              <w:bCs/>
              <w:szCs w:val="32"/>
            </w:rPr>
            <w:t>第 12 章  可持续发展与社区参与</w:t>
          </w:r>
          <w:r>
            <w:tab/>
          </w:r>
          <w:r>
            <w:fldChar w:fldCharType="begin"/>
          </w:r>
          <w:r>
            <w:instrText xml:space="preserve"> PAGEREF _Toc2362 \h </w:instrText>
          </w:r>
          <w:r>
            <w:fldChar w:fldCharType="separate"/>
          </w:r>
          <w:r>
            <w:t>99</w:t>
          </w:r>
          <w:r>
            <w:fldChar w:fldCharType="end"/>
          </w:r>
          <w:r>
            <w:fldChar w:fldCharType="end"/>
          </w:r>
        </w:p>
        <w:p w14:paraId="26C6B856">
          <w:pPr>
            <w:pStyle w:val="12"/>
            <w:tabs>
              <w:tab w:val="right" w:leader="dot" w:pos="9026"/>
            </w:tabs>
          </w:pPr>
          <w:r>
            <w:fldChar w:fldCharType="begin"/>
          </w:r>
          <w:r>
            <w:instrText xml:space="preserve"> HYPERLINK \l _Toc1371 </w:instrText>
          </w:r>
          <w:r>
            <w:fldChar w:fldCharType="separate"/>
          </w:r>
          <w:r>
            <w:rPr>
              <w:rFonts w:ascii="黑体" w:hAnsi="黑体" w:eastAsia="黑体" w:cs="黑体"/>
              <w:bCs/>
              <w:szCs w:val="28"/>
            </w:rPr>
            <w:t>学习目标</w:t>
          </w:r>
          <w:r>
            <w:tab/>
          </w:r>
          <w:r>
            <w:fldChar w:fldCharType="begin"/>
          </w:r>
          <w:r>
            <w:instrText xml:space="preserve"> PAGEREF _Toc1371 \h </w:instrText>
          </w:r>
          <w:r>
            <w:fldChar w:fldCharType="separate"/>
          </w:r>
          <w:r>
            <w:t>99</w:t>
          </w:r>
          <w:r>
            <w:fldChar w:fldCharType="end"/>
          </w:r>
          <w:r>
            <w:fldChar w:fldCharType="end"/>
          </w:r>
        </w:p>
        <w:p w14:paraId="15A04703">
          <w:pPr>
            <w:pStyle w:val="12"/>
            <w:tabs>
              <w:tab w:val="right" w:leader="dot" w:pos="9026"/>
            </w:tabs>
          </w:pPr>
          <w:r>
            <w:fldChar w:fldCharType="begin"/>
          </w:r>
          <w:r>
            <w:instrText xml:space="preserve"> HYPERLINK \l _Toc16681 </w:instrText>
          </w:r>
          <w:r>
            <w:fldChar w:fldCharType="separate"/>
          </w:r>
          <w:r>
            <w:rPr>
              <w:rFonts w:ascii="黑体" w:hAnsi="黑体" w:eastAsia="黑体" w:cs="黑体"/>
              <w:bCs/>
              <w:szCs w:val="28"/>
            </w:rPr>
            <w:t>导入案例：谁的文化，谁的遗产？</w:t>
          </w:r>
          <w:r>
            <w:tab/>
          </w:r>
          <w:r>
            <w:fldChar w:fldCharType="begin"/>
          </w:r>
          <w:r>
            <w:instrText xml:space="preserve"> PAGEREF _Toc16681 \h </w:instrText>
          </w:r>
          <w:r>
            <w:fldChar w:fldCharType="separate"/>
          </w:r>
          <w:r>
            <w:t>99</w:t>
          </w:r>
          <w:r>
            <w:fldChar w:fldCharType="end"/>
          </w:r>
          <w:r>
            <w:fldChar w:fldCharType="end"/>
          </w:r>
        </w:p>
        <w:p w14:paraId="6C4BA0DF">
          <w:pPr>
            <w:pStyle w:val="12"/>
            <w:tabs>
              <w:tab w:val="right" w:leader="dot" w:pos="9026"/>
            </w:tabs>
          </w:pPr>
          <w:r>
            <w:fldChar w:fldCharType="begin"/>
          </w:r>
          <w:r>
            <w:instrText xml:space="preserve"> HYPERLINK \l _Toc21023 </w:instrText>
          </w:r>
          <w:r>
            <w:fldChar w:fldCharType="separate"/>
          </w:r>
          <w:r>
            <w:rPr>
              <w:rFonts w:ascii="黑体" w:hAnsi="黑体" w:eastAsia="黑体" w:cs="黑体"/>
              <w:bCs/>
              <w:szCs w:val="28"/>
            </w:rPr>
            <w:t>12.1 文化遗产可持续发展的理论框架</w:t>
          </w:r>
          <w:r>
            <w:tab/>
          </w:r>
          <w:r>
            <w:fldChar w:fldCharType="begin"/>
          </w:r>
          <w:r>
            <w:instrText xml:space="preserve"> PAGEREF _Toc21023 \h </w:instrText>
          </w:r>
          <w:r>
            <w:fldChar w:fldCharType="separate"/>
          </w:r>
          <w:r>
            <w:t>99</w:t>
          </w:r>
          <w:r>
            <w:fldChar w:fldCharType="end"/>
          </w:r>
          <w:r>
            <w:fldChar w:fldCharType="end"/>
          </w:r>
        </w:p>
        <w:p w14:paraId="3FB9FC2A">
          <w:pPr>
            <w:pStyle w:val="8"/>
            <w:tabs>
              <w:tab w:val="right" w:leader="dot" w:pos="9026"/>
            </w:tabs>
          </w:pPr>
          <w:r>
            <w:fldChar w:fldCharType="begin"/>
          </w:r>
          <w:r>
            <w:instrText xml:space="preserve"> HYPERLINK \l _Toc4945 </w:instrText>
          </w:r>
          <w:r>
            <w:fldChar w:fldCharType="separate"/>
          </w:r>
          <w:r>
            <w:rPr>
              <w:rFonts w:ascii="黑体" w:hAnsi="黑体" w:eastAsia="黑体" w:cs="黑体"/>
              <w:bCs/>
              <w:szCs w:val="26"/>
            </w:rPr>
            <w:t>12.1.1 可持续发展的四个维度</w:t>
          </w:r>
          <w:r>
            <w:tab/>
          </w:r>
          <w:r>
            <w:fldChar w:fldCharType="begin"/>
          </w:r>
          <w:r>
            <w:instrText xml:space="preserve"> PAGEREF _Toc4945 \h </w:instrText>
          </w:r>
          <w:r>
            <w:fldChar w:fldCharType="separate"/>
          </w:r>
          <w:r>
            <w:t>99</w:t>
          </w:r>
          <w:r>
            <w:fldChar w:fldCharType="end"/>
          </w:r>
          <w:r>
            <w:fldChar w:fldCharType="end"/>
          </w:r>
        </w:p>
        <w:p w14:paraId="327FC308">
          <w:pPr>
            <w:pStyle w:val="8"/>
            <w:tabs>
              <w:tab w:val="right" w:leader="dot" w:pos="9026"/>
            </w:tabs>
          </w:pPr>
          <w:r>
            <w:fldChar w:fldCharType="begin"/>
          </w:r>
          <w:r>
            <w:instrText xml:space="preserve"> HYPERLINK \l _Toc28652 </w:instrText>
          </w:r>
          <w:r>
            <w:fldChar w:fldCharType="separate"/>
          </w:r>
          <w:r>
            <w:rPr>
              <w:rFonts w:ascii="黑体" w:hAnsi="黑体" w:eastAsia="黑体" w:cs="黑体"/>
              <w:bCs/>
              <w:szCs w:val="26"/>
            </w:rPr>
            <w:t>12.1.2 可持续旅游原则</w:t>
          </w:r>
          <w:r>
            <w:tab/>
          </w:r>
          <w:r>
            <w:fldChar w:fldCharType="begin"/>
          </w:r>
          <w:r>
            <w:instrText xml:space="preserve"> PAGEREF _Toc28652 \h </w:instrText>
          </w:r>
          <w:r>
            <w:fldChar w:fldCharType="separate"/>
          </w:r>
          <w:r>
            <w:t>100</w:t>
          </w:r>
          <w:r>
            <w:fldChar w:fldCharType="end"/>
          </w:r>
          <w:r>
            <w:fldChar w:fldCharType="end"/>
          </w:r>
        </w:p>
        <w:p w14:paraId="2BBA5196">
          <w:pPr>
            <w:pStyle w:val="8"/>
            <w:tabs>
              <w:tab w:val="right" w:leader="dot" w:pos="9026"/>
            </w:tabs>
          </w:pPr>
          <w:r>
            <w:fldChar w:fldCharType="begin"/>
          </w:r>
          <w:r>
            <w:instrText xml:space="preserve"> HYPERLINK \l _Toc17459 </w:instrText>
          </w:r>
          <w:r>
            <w:fldChar w:fldCharType="separate"/>
          </w:r>
          <w:r>
            <w:rPr>
              <w:rFonts w:ascii="黑体" w:hAnsi="黑体" w:eastAsia="黑体" w:cs="黑体"/>
              <w:bCs/>
              <w:szCs w:val="26"/>
            </w:rPr>
            <w:t>12.1.3 韧性理论</w:t>
          </w:r>
          <w:r>
            <w:tab/>
          </w:r>
          <w:r>
            <w:fldChar w:fldCharType="begin"/>
          </w:r>
          <w:r>
            <w:instrText xml:space="preserve"> PAGEREF _Toc17459 \h </w:instrText>
          </w:r>
          <w:r>
            <w:fldChar w:fldCharType="separate"/>
          </w:r>
          <w:r>
            <w:t>100</w:t>
          </w:r>
          <w:r>
            <w:fldChar w:fldCharType="end"/>
          </w:r>
          <w:r>
            <w:fldChar w:fldCharType="end"/>
          </w:r>
        </w:p>
        <w:p w14:paraId="2AE0B023">
          <w:pPr>
            <w:pStyle w:val="12"/>
            <w:tabs>
              <w:tab w:val="right" w:leader="dot" w:pos="9026"/>
            </w:tabs>
          </w:pPr>
          <w:r>
            <w:fldChar w:fldCharType="begin"/>
          </w:r>
          <w:r>
            <w:instrText xml:space="preserve"> HYPERLINK \l _Toc26889 </w:instrText>
          </w:r>
          <w:r>
            <w:fldChar w:fldCharType="separate"/>
          </w:r>
          <w:r>
            <w:rPr>
              <w:rFonts w:ascii="黑体" w:hAnsi="黑体" w:eastAsia="黑体" w:cs="黑体"/>
              <w:bCs/>
              <w:szCs w:val="28"/>
            </w:rPr>
            <w:t>12.2 社区参与的理论与实践</w:t>
          </w:r>
          <w:r>
            <w:tab/>
          </w:r>
          <w:r>
            <w:fldChar w:fldCharType="begin"/>
          </w:r>
          <w:r>
            <w:instrText xml:space="preserve"> PAGEREF _Toc26889 \h </w:instrText>
          </w:r>
          <w:r>
            <w:fldChar w:fldCharType="separate"/>
          </w:r>
          <w:r>
            <w:t>101</w:t>
          </w:r>
          <w:r>
            <w:fldChar w:fldCharType="end"/>
          </w:r>
          <w:r>
            <w:fldChar w:fldCharType="end"/>
          </w:r>
        </w:p>
        <w:p w14:paraId="5611B2A2">
          <w:pPr>
            <w:pStyle w:val="8"/>
            <w:tabs>
              <w:tab w:val="right" w:leader="dot" w:pos="9026"/>
            </w:tabs>
          </w:pPr>
          <w:r>
            <w:fldChar w:fldCharType="begin"/>
          </w:r>
          <w:r>
            <w:instrText xml:space="preserve"> HYPERLINK \l _Toc13753 </w:instrText>
          </w:r>
          <w:r>
            <w:fldChar w:fldCharType="separate"/>
          </w:r>
          <w:r>
            <w:rPr>
              <w:rFonts w:ascii="黑体" w:hAnsi="黑体" w:eastAsia="黑体" w:cs="黑体"/>
              <w:bCs/>
              <w:szCs w:val="26"/>
            </w:rPr>
            <w:t>12.2.1 Arnstein的参与阶梯</w:t>
          </w:r>
          <w:r>
            <w:tab/>
          </w:r>
          <w:r>
            <w:fldChar w:fldCharType="begin"/>
          </w:r>
          <w:r>
            <w:instrText xml:space="preserve"> PAGEREF _Toc13753 \h </w:instrText>
          </w:r>
          <w:r>
            <w:fldChar w:fldCharType="separate"/>
          </w:r>
          <w:r>
            <w:t>101</w:t>
          </w:r>
          <w:r>
            <w:fldChar w:fldCharType="end"/>
          </w:r>
          <w:r>
            <w:fldChar w:fldCharType="end"/>
          </w:r>
        </w:p>
        <w:p w14:paraId="124FEC2F">
          <w:pPr>
            <w:pStyle w:val="8"/>
            <w:tabs>
              <w:tab w:val="right" w:leader="dot" w:pos="9026"/>
            </w:tabs>
          </w:pPr>
          <w:r>
            <w:fldChar w:fldCharType="begin"/>
          </w:r>
          <w:r>
            <w:instrText xml:space="preserve"> HYPERLINK \l _Toc32132 </w:instrText>
          </w:r>
          <w:r>
            <w:fldChar w:fldCharType="separate"/>
          </w:r>
          <w:r>
            <w:rPr>
              <w:rFonts w:ascii="黑体" w:hAnsi="黑体" w:eastAsia="黑体" w:cs="黑体"/>
              <w:bCs/>
              <w:szCs w:val="26"/>
            </w:rPr>
            <w:t>12.2.2 社区参与的层次</w:t>
          </w:r>
          <w:r>
            <w:tab/>
          </w:r>
          <w:r>
            <w:fldChar w:fldCharType="begin"/>
          </w:r>
          <w:r>
            <w:instrText xml:space="preserve"> PAGEREF _Toc32132 \h </w:instrText>
          </w:r>
          <w:r>
            <w:fldChar w:fldCharType="separate"/>
          </w:r>
          <w:r>
            <w:t>101</w:t>
          </w:r>
          <w:r>
            <w:fldChar w:fldCharType="end"/>
          </w:r>
          <w:r>
            <w:fldChar w:fldCharType="end"/>
          </w:r>
        </w:p>
        <w:p w14:paraId="1B353EC3">
          <w:pPr>
            <w:pStyle w:val="8"/>
            <w:tabs>
              <w:tab w:val="right" w:leader="dot" w:pos="9026"/>
            </w:tabs>
          </w:pPr>
          <w:r>
            <w:fldChar w:fldCharType="begin"/>
          </w:r>
          <w:r>
            <w:instrText xml:space="preserve"> HYPERLINK \l _Toc15933 </w:instrText>
          </w:r>
          <w:r>
            <w:fldChar w:fldCharType="separate"/>
          </w:r>
          <w:r>
            <w:rPr>
              <w:rFonts w:ascii="黑体" w:hAnsi="黑体" w:eastAsia="黑体" w:cs="黑体"/>
              <w:bCs/>
              <w:szCs w:val="26"/>
            </w:rPr>
            <w:t>12.2.3 屯堡社区参与的实践</w:t>
          </w:r>
          <w:r>
            <w:tab/>
          </w:r>
          <w:r>
            <w:fldChar w:fldCharType="begin"/>
          </w:r>
          <w:r>
            <w:instrText xml:space="preserve"> PAGEREF _Toc15933 \h </w:instrText>
          </w:r>
          <w:r>
            <w:fldChar w:fldCharType="separate"/>
          </w:r>
          <w:r>
            <w:t>101</w:t>
          </w:r>
          <w:r>
            <w:fldChar w:fldCharType="end"/>
          </w:r>
          <w:r>
            <w:fldChar w:fldCharType="end"/>
          </w:r>
        </w:p>
        <w:p w14:paraId="5637388A">
          <w:pPr>
            <w:pStyle w:val="12"/>
            <w:tabs>
              <w:tab w:val="right" w:leader="dot" w:pos="9026"/>
            </w:tabs>
          </w:pPr>
          <w:r>
            <w:fldChar w:fldCharType="begin"/>
          </w:r>
          <w:r>
            <w:instrText xml:space="preserve"> HYPERLINK \l _Toc3763 </w:instrText>
          </w:r>
          <w:r>
            <w:fldChar w:fldCharType="separate"/>
          </w:r>
          <w:r>
            <w:rPr>
              <w:rFonts w:ascii="黑体" w:hAnsi="黑体" w:eastAsia="黑体" w:cs="黑体"/>
              <w:bCs/>
              <w:szCs w:val="28"/>
            </w:rPr>
            <w:t>12.3 利益相关者分析</w:t>
          </w:r>
          <w:r>
            <w:tab/>
          </w:r>
          <w:r>
            <w:fldChar w:fldCharType="begin"/>
          </w:r>
          <w:r>
            <w:instrText xml:space="preserve"> PAGEREF _Toc3763 \h </w:instrText>
          </w:r>
          <w:r>
            <w:fldChar w:fldCharType="separate"/>
          </w:r>
          <w:r>
            <w:t>102</w:t>
          </w:r>
          <w:r>
            <w:fldChar w:fldCharType="end"/>
          </w:r>
          <w:r>
            <w:fldChar w:fldCharType="end"/>
          </w:r>
        </w:p>
        <w:p w14:paraId="3561D27B">
          <w:pPr>
            <w:pStyle w:val="8"/>
            <w:tabs>
              <w:tab w:val="right" w:leader="dot" w:pos="9026"/>
            </w:tabs>
          </w:pPr>
          <w:r>
            <w:fldChar w:fldCharType="begin"/>
          </w:r>
          <w:r>
            <w:instrText xml:space="preserve"> HYPERLINK \l _Toc5275 </w:instrText>
          </w:r>
          <w:r>
            <w:fldChar w:fldCharType="separate"/>
          </w:r>
          <w:r>
            <w:rPr>
              <w:rFonts w:ascii="黑体" w:hAnsi="黑体" w:eastAsia="黑体" w:cs="黑体"/>
              <w:bCs/>
              <w:szCs w:val="26"/>
            </w:rPr>
            <w:t>12.3.1 利益相关者识别</w:t>
          </w:r>
          <w:r>
            <w:tab/>
          </w:r>
          <w:r>
            <w:fldChar w:fldCharType="begin"/>
          </w:r>
          <w:r>
            <w:instrText xml:space="preserve"> PAGEREF _Toc5275 \h </w:instrText>
          </w:r>
          <w:r>
            <w:fldChar w:fldCharType="separate"/>
          </w:r>
          <w:r>
            <w:t>102</w:t>
          </w:r>
          <w:r>
            <w:fldChar w:fldCharType="end"/>
          </w:r>
          <w:r>
            <w:fldChar w:fldCharType="end"/>
          </w:r>
        </w:p>
        <w:p w14:paraId="4203A767">
          <w:pPr>
            <w:pStyle w:val="8"/>
            <w:tabs>
              <w:tab w:val="right" w:leader="dot" w:pos="9026"/>
            </w:tabs>
          </w:pPr>
          <w:r>
            <w:fldChar w:fldCharType="begin"/>
          </w:r>
          <w:r>
            <w:instrText xml:space="preserve"> HYPERLINK \l _Toc20343 </w:instrText>
          </w:r>
          <w:r>
            <w:fldChar w:fldCharType="separate"/>
          </w:r>
          <w:r>
            <w:rPr>
              <w:rFonts w:ascii="黑体" w:hAnsi="黑体" w:eastAsia="黑体" w:cs="黑体"/>
              <w:bCs/>
              <w:szCs w:val="26"/>
            </w:rPr>
            <w:t>12.3.2 利益诉求分析</w:t>
          </w:r>
          <w:r>
            <w:tab/>
          </w:r>
          <w:r>
            <w:fldChar w:fldCharType="begin"/>
          </w:r>
          <w:r>
            <w:instrText xml:space="preserve"> PAGEREF _Toc20343 \h </w:instrText>
          </w:r>
          <w:r>
            <w:fldChar w:fldCharType="separate"/>
          </w:r>
          <w:r>
            <w:t>102</w:t>
          </w:r>
          <w:r>
            <w:fldChar w:fldCharType="end"/>
          </w:r>
          <w:r>
            <w:fldChar w:fldCharType="end"/>
          </w:r>
        </w:p>
        <w:p w14:paraId="71CC8856">
          <w:pPr>
            <w:pStyle w:val="8"/>
            <w:tabs>
              <w:tab w:val="right" w:leader="dot" w:pos="9026"/>
            </w:tabs>
          </w:pPr>
          <w:r>
            <w:fldChar w:fldCharType="begin"/>
          </w:r>
          <w:r>
            <w:instrText xml:space="preserve"> HYPERLINK \l _Toc25050 </w:instrText>
          </w:r>
          <w:r>
            <w:fldChar w:fldCharType="separate"/>
          </w:r>
          <w:r>
            <w:rPr>
              <w:rFonts w:ascii="黑体" w:hAnsi="黑体" w:eastAsia="黑体" w:cs="黑体"/>
              <w:bCs/>
              <w:szCs w:val="26"/>
            </w:rPr>
            <w:t>12.3.3 利益协调机制</w:t>
          </w:r>
          <w:r>
            <w:tab/>
          </w:r>
          <w:r>
            <w:fldChar w:fldCharType="begin"/>
          </w:r>
          <w:r>
            <w:instrText xml:space="preserve"> PAGEREF _Toc25050 \h </w:instrText>
          </w:r>
          <w:r>
            <w:fldChar w:fldCharType="separate"/>
          </w:r>
          <w:r>
            <w:t>103</w:t>
          </w:r>
          <w:r>
            <w:fldChar w:fldCharType="end"/>
          </w:r>
          <w:r>
            <w:fldChar w:fldCharType="end"/>
          </w:r>
        </w:p>
        <w:p w14:paraId="750D9FE4">
          <w:pPr>
            <w:pStyle w:val="12"/>
            <w:tabs>
              <w:tab w:val="right" w:leader="dot" w:pos="9026"/>
            </w:tabs>
          </w:pPr>
          <w:r>
            <w:fldChar w:fldCharType="begin"/>
          </w:r>
          <w:r>
            <w:instrText xml:space="preserve"> HYPERLINK \l _Toc10167 </w:instrText>
          </w:r>
          <w:r>
            <w:fldChar w:fldCharType="separate"/>
          </w:r>
          <w:r>
            <w:rPr>
              <w:rFonts w:ascii="黑体" w:hAnsi="黑体" w:eastAsia="黑体" w:cs="黑体"/>
              <w:bCs/>
              <w:szCs w:val="28"/>
            </w:rPr>
            <w:t>12.4 环境保护与绿色发展</w:t>
          </w:r>
          <w:r>
            <w:tab/>
          </w:r>
          <w:r>
            <w:fldChar w:fldCharType="begin"/>
          </w:r>
          <w:r>
            <w:instrText xml:space="preserve"> PAGEREF _Toc10167 \h </w:instrText>
          </w:r>
          <w:r>
            <w:fldChar w:fldCharType="separate"/>
          </w:r>
          <w:r>
            <w:t>103</w:t>
          </w:r>
          <w:r>
            <w:fldChar w:fldCharType="end"/>
          </w:r>
          <w:r>
            <w:fldChar w:fldCharType="end"/>
          </w:r>
        </w:p>
        <w:p w14:paraId="0B288442">
          <w:pPr>
            <w:pStyle w:val="8"/>
            <w:tabs>
              <w:tab w:val="right" w:leader="dot" w:pos="9026"/>
            </w:tabs>
          </w:pPr>
          <w:r>
            <w:fldChar w:fldCharType="begin"/>
          </w:r>
          <w:r>
            <w:instrText xml:space="preserve"> HYPERLINK \l _Toc19776 </w:instrText>
          </w:r>
          <w:r>
            <w:fldChar w:fldCharType="separate"/>
          </w:r>
          <w:r>
            <w:rPr>
              <w:rFonts w:ascii="黑体" w:hAnsi="黑体" w:eastAsia="黑体" w:cs="黑体"/>
              <w:bCs/>
              <w:szCs w:val="26"/>
            </w:rPr>
            <w:t>12.4.1 旅游环境承载力</w:t>
          </w:r>
          <w:r>
            <w:tab/>
          </w:r>
          <w:r>
            <w:fldChar w:fldCharType="begin"/>
          </w:r>
          <w:r>
            <w:instrText xml:space="preserve"> PAGEREF _Toc19776 \h </w:instrText>
          </w:r>
          <w:r>
            <w:fldChar w:fldCharType="separate"/>
          </w:r>
          <w:r>
            <w:t>103</w:t>
          </w:r>
          <w:r>
            <w:fldChar w:fldCharType="end"/>
          </w:r>
          <w:r>
            <w:fldChar w:fldCharType="end"/>
          </w:r>
        </w:p>
        <w:p w14:paraId="2E13614D">
          <w:pPr>
            <w:pStyle w:val="8"/>
            <w:tabs>
              <w:tab w:val="right" w:leader="dot" w:pos="9026"/>
            </w:tabs>
          </w:pPr>
          <w:r>
            <w:fldChar w:fldCharType="begin"/>
          </w:r>
          <w:r>
            <w:instrText xml:space="preserve"> HYPERLINK \l _Toc27834 </w:instrText>
          </w:r>
          <w:r>
            <w:fldChar w:fldCharType="separate"/>
          </w:r>
          <w:r>
            <w:rPr>
              <w:rFonts w:ascii="黑体" w:hAnsi="黑体" w:eastAsia="黑体" w:cs="黑体"/>
              <w:bCs/>
              <w:szCs w:val="26"/>
            </w:rPr>
            <w:t>12.4.2 绿色旅游实践</w:t>
          </w:r>
          <w:r>
            <w:tab/>
          </w:r>
          <w:r>
            <w:fldChar w:fldCharType="begin"/>
          </w:r>
          <w:r>
            <w:instrText xml:space="preserve"> PAGEREF _Toc27834 \h </w:instrText>
          </w:r>
          <w:r>
            <w:fldChar w:fldCharType="separate"/>
          </w:r>
          <w:r>
            <w:t>103</w:t>
          </w:r>
          <w:r>
            <w:fldChar w:fldCharType="end"/>
          </w:r>
          <w:r>
            <w:fldChar w:fldCharType="end"/>
          </w:r>
        </w:p>
        <w:p w14:paraId="4DD20FE9">
          <w:pPr>
            <w:pStyle w:val="8"/>
            <w:tabs>
              <w:tab w:val="right" w:leader="dot" w:pos="9026"/>
            </w:tabs>
          </w:pPr>
          <w:r>
            <w:fldChar w:fldCharType="begin"/>
          </w:r>
          <w:r>
            <w:instrText xml:space="preserve"> HYPERLINK \l _Toc15807 </w:instrText>
          </w:r>
          <w:r>
            <w:fldChar w:fldCharType="separate"/>
          </w:r>
          <w:r>
            <w:rPr>
              <w:rFonts w:ascii="黑体" w:hAnsi="黑体" w:eastAsia="黑体" w:cs="黑体"/>
              <w:bCs/>
              <w:szCs w:val="26"/>
            </w:rPr>
            <w:t>12.4.3 气候变化应对</w:t>
          </w:r>
          <w:r>
            <w:tab/>
          </w:r>
          <w:r>
            <w:fldChar w:fldCharType="begin"/>
          </w:r>
          <w:r>
            <w:instrText xml:space="preserve"> PAGEREF _Toc15807 \h </w:instrText>
          </w:r>
          <w:r>
            <w:fldChar w:fldCharType="separate"/>
          </w:r>
          <w:r>
            <w:t>104</w:t>
          </w:r>
          <w:r>
            <w:fldChar w:fldCharType="end"/>
          </w:r>
          <w:r>
            <w:fldChar w:fldCharType="end"/>
          </w:r>
        </w:p>
        <w:p w14:paraId="185510E6">
          <w:pPr>
            <w:pStyle w:val="12"/>
            <w:tabs>
              <w:tab w:val="right" w:leader="dot" w:pos="9026"/>
            </w:tabs>
          </w:pPr>
          <w:r>
            <w:fldChar w:fldCharType="begin"/>
          </w:r>
          <w:r>
            <w:instrText xml:space="preserve"> HYPERLINK \l _Toc23876 </w:instrText>
          </w:r>
          <w:r>
            <w:fldChar w:fldCharType="separate"/>
          </w:r>
          <w:r>
            <w:rPr>
              <w:rFonts w:ascii="黑体" w:hAnsi="黑体" w:eastAsia="黑体" w:cs="黑体"/>
              <w:bCs/>
              <w:szCs w:val="28"/>
            </w:rPr>
            <w:t>12.5 面向未来的战略思考</w:t>
          </w:r>
          <w:r>
            <w:tab/>
          </w:r>
          <w:r>
            <w:fldChar w:fldCharType="begin"/>
          </w:r>
          <w:r>
            <w:instrText xml:space="preserve"> PAGEREF _Toc23876 \h </w:instrText>
          </w:r>
          <w:r>
            <w:fldChar w:fldCharType="separate"/>
          </w:r>
          <w:r>
            <w:t>104</w:t>
          </w:r>
          <w:r>
            <w:fldChar w:fldCharType="end"/>
          </w:r>
          <w:r>
            <w:fldChar w:fldCharType="end"/>
          </w:r>
        </w:p>
        <w:p w14:paraId="0BD93555">
          <w:pPr>
            <w:pStyle w:val="8"/>
            <w:tabs>
              <w:tab w:val="right" w:leader="dot" w:pos="9026"/>
            </w:tabs>
          </w:pPr>
          <w:r>
            <w:fldChar w:fldCharType="begin"/>
          </w:r>
          <w:r>
            <w:instrText xml:space="preserve"> HYPERLINK \l _Toc9254 </w:instrText>
          </w:r>
          <w:r>
            <w:fldChar w:fldCharType="separate"/>
          </w:r>
          <w:r>
            <w:rPr>
              <w:rFonts w:ascii="黑体" w:hAnsi="黑体" w:eastAsia="黑体" w:cs="黑体"/>
              <w:bCs/>
              <w:szCs w:val="26"/>
            </w:rPr>
            <w:t>12.5.1 从"保护"到"赋能"</w:t>
          </w:r>
          <w:r>
            <w:tab/>
          </w:r>
          <w:r>
            <w:fldChar w:fldCharType="begin"/>
          </w:r>
          <w:r>
            <w:instrText xml:space="preserve"> PAGEREF _Toc9254 \h </w:instrText>
          </w:r>
          <w:r>
            <w:fldChar w:fldCharType="separate"/>
          </w:r>
          <w:r>
            <w:t>104</w:t>
          </w:r>
          <w:r>
            <w:fldChar w:fldCharType="end"/>
          </w:r>
          <w:r>
            <w:fldChar w:fldCharType="end"/>
          </w:r>
        </w:p>
        <w:p w14:paraId="640A8BF8">
          <w:pPr>
            <w:pStyle w:val="8"/>
            <w:tabs>
              <w:tab w:val="right" w:leader="dot" w:pos="9026"/>
            </w:tabs>
          </w:pPr>
          <w:r>
            <w:fldChar w:fldCharType="begin"/>
          </w:r>
          <w:r>
            <w:instrText xml:space="preserve"> HYPERLINK \l _Toc1954 </w:instrText>
          </w:r>
          <w:r>
            <w:fldChar w:fldCharType="separate"/>
          </w:r>
          <w:r>
            <w:rPr>
              <w:rFonts w:ascii="黑体" w:hAnsi="黑体" w:eastAsia="黑体" w:cs="黑体"/>
              <w:bCs/>
              <w:szCs w:val="26"/>
            </w:rPr>
            <w:t>12.5.2 代际传承</w:t>
          </w:r>
          <w:r>
            <w:tab/>
          </w:r>
          <w:r>
            <w:fldChar w:fldCharType="begin"/>
          </w:r>
          <w:r>
            <w:instrText xml:space="preserve"> PAGEREF _Toc1954 \h </w:instrText>
          </w:r>
          <w:r>
            <w:fldChar w:fldCharType="separate"/>
          </w:r>
          <w:r>
            <w:t>104</w:t>
          </w:r>
          <w:r>
            <w:fldChar w:fldCharType="end"/>
          </w:r>
          <w:r>
            <w:fldChar w:fldCharType="end"/>
          </w:r>
        </w:p>
        <w:p w14:paraId="2EC096F8">
          <w:pPr>
            <w:pStyle w:val="8"/>
            <w:tabs>
              <w:tab w:val="right" w:leader="dot" w:pos="9026"/>
            </w:tabs>
          </w:pPr>
          <w:r>
            <w:fldChar w:fldCharType="begin"/>
          </w:r>
          <w:r>
            <w:instrText xml:space="preserve"> HYPERLINK \l _Toc31608 </w:instrText>
          </w:r>
          <w:r>
            <w:fldChar w:fldCharType="separate"/>
          </w:r>
          <w:r>
            <w:rPr>
              <w:rFonts w:ascii="黑体" w:hAnsi="黑体" w:eastAsia="黑体" w:cs="黑体"/>
              <w:bCs/>
              <w:szCs w:val="26"/>
            </w:rPr>
            <w:t>12.5.3 开放与坚守</w:t>
          </w:r>
          <w:r>
            <w:tab/>
          </w:r>
          <w:r>
            <w:fldChar w:fldCharType="begin"/>
          </w:r>
          <w:r>
            <w:instrText xml:space="preserve"> PAGEREF _Toc31608 \h </w:instrText>
          </w:r>
          <w:r>
            <w:fldChar w:fldCharType="separate"/>
          </w:r>
          <w:r>
            <w:t>105</w:t>
          </w:r>
          <w:r>
            <w:fldChar w:fldCharType="end"/>
          </w:r>
          <w:r>
            <w:fldChar w:fldCharType="end"/>
          </w:r>
        </w:p>
        <w:p w14:paraId="695AEEFE">
          <w:pPr>
            <w:pStyle w:val="12"/>
            <w:tabs>
              <w:tab w:val="right" w:leader="dot" w:pos="9026"/>
            </w:tabs>
          </w:pPr>
          <w:r>
            <w:fldChar w:fldCharType="begin"/>
          </w:r>
          <w:r>
            <w:instrText xml:space="preserve"> HYPERLINK \l _Toc12552 </w:instrText>
          </w:r>
          <w:r>
            <w:fldChar w:fldCharType="separate"/>
          </w:r>
          <w:r>
            <w:rPr>
              <w:rFonts w:ascii="黑体" w:hAnsi="黑体" w:eastAsia="黑体" w:cs="黑体"/>
              <w:bCs/>
              <w:szCs w:val="28"/>
            </w:rPr>
            <w:t>本章小结</w:t>
          </w:r>
          <w:r>
            <w:tab/>
          </w:r>
          <w:r>
            <w:fldChar w:fldCharType="begin"/>
          </w:r>
          <w:r>
            <w:instrText xml:space="preserve"> PAGEREF _Toc12552 \h </w:instrText>
          </w:r>
          <w:r>
            <w:fldChar w:fldCharType="separate"/>
          </w:r>
          <w:r>
            <w:t>105</w:t>
          </w:r>
          <w:r>
            <w:fldChar w:fldCharType="end"/>
          </w:r>
          <w:r>
            <w:fldChar w:fldCharType="end"/>
          </w:r>
        </w:p>
        <w:p w14:paraId="4578C2F2">
          <w:pPr>
            <w:pStyle w:val="12"/>
            <w:tabs>
              <w:tab w:val="right" w:leader="dot" w:pos="9026"/>
            </w:tabs>
          </w:pPr>
          <w:r>
            <w:fldChar w:fldCharType="begin"/>
          </w:r>
          <w:r>
            <w:instrText xml:space="preserve"> HYPERLINK \l _Toc22867 </w:instrText>
          </w:r>
          <w:r>
            <w:fldChar w:fldCharType="separate"/>
          </w:r>
          <w:r>
            <w:rPr>
              <w:rFonts w:ascii="黑体" w:hAnsi="黑体" w:eastAsia="黑体" w:cs="黑体"/>
              <w:bCs/>
              <w:szCs w:val="28"/>
            </w:rPr>
            <w:t>思考与练习</w:t>
          </w:r>
          <w:r>
            <w:tab/>
          </w:r>
          <w:r>
            <w:fldChar w:fldCharType="begin"/>
          </w:r>
          <w:r>
            <w:instrText xml:space="preserve"> PAGEREF _Toc22867 \h </w:instrText>
          </w:r>
          <w:r>
            <w:fldChar w:fldCharType="separate"/>
          </w:r>
          <w:r>
            <w:t>105</w:t>
          </w:r>
          <w:r>
            <w:fldChar w:fldCharType="end"/>
          </w:r>
          <w:r>
            <w:fldChar w:fldCharType="end"/>
          </w:r>
        </w:p>
        <w:p w14:paraId="174CF62D">
          <w:pPr>
            <w:pStyle w:val="12"/>
            <w:tabs>
              <w:tab w:val="right" w:leader="dot" w:pos="9026"/>
            </w:tabs>
          </w:pPr>
          <w:r>
            <w:fldChar w:fldCharType="begin"/>
          </w:r>
          <w:r>
            <w:instrText xml:space="preserve"> HYPERLINK \l _Toc20718 </w:instrText>
          </w:r>
          <w:r>
            <w:fldChar w:fldCharType="separate"/>
          </w:r>
          <w:r>
            <w:rPr>
              <w:rFonts w:ascii="黑体" w:hAnsi="黑体" w:eastAsia="黑体" w:cs="黑体"/>
              <w:bCs/>
              <w:szCs w:val="28"/>
            </w:rPr>
            <w:t>知识卡片：社区参与层次</w:t>
          </w:r>
          <w:r>
            <w:tab/>
          </w:r>
          <w:r>
            <w:fldChar w:fldCharType="begin"/>
          </w:r>
          <w:r>
            <w:instrText xml:space="preserve"> PAGEREF _Toc20718 \h </w:instrText>
          </w:r>
          <w:r>
            <w:fldChar w:fldCharType="separate"/>
          </w:r>
          <w:r>
            <w:t>105</w:t>
          </w:r>
          <w:r>
            <w:fldChar w:fldCharType="end"/>
          </w:r>
          <w:r>
            <w:fldChar w:fldCharType="end"/>
          </w:r>
        </w:p>
        <w:p w14:paraId="4CA2CEE1">
          <w:pPr>
            <w:pStyle w:val="10"/>
            <w:tabs>
              <w:tab w:val="right" w:leader="dot" w:pos="9026"/>
            </w:tabs>
          </w:pPr>
          <w:r>
            <w:fldChar w:fldCharType="begin"/>
          </w:r>
          <w:r>
            <w:instrText xml:space="preserve"> HYPERLINK \l _Toc30297 </w:instrText>
          </w:r>
          <w:r>
            <w:fldChar w:fldCharType="separate"/>
          </w:r>
          <w:r>
            <w:rPr>
              <w:rFonts w:ascii="黑体" w:hAnsi="黑体" w:eastAsia="黑体" w:cs="黑体"/>
              <w:bCs/>
              <w:szCs w:val="40"/>
            </w:rPr>
            <w:t>附  录</w:t>
          </w:r>
          <w:r>
            <w:tab/>
          </w:r>
          <w:r>
            <w:fldChar w:fldCharType="begin"/>
          </w:r>
          <w:r>
            <w:instrText xml:space="preserve"> PAGEREF _Toc30297 \h </w:instrText>
          </w:r>
          <w:r>
            <w:fldChar w:fldCharType="separate"/>
          </w:r>
          <w:r>
            <w:t>107</w:t>
          </w:r>
          <w:r>
            <w:fldChar w:fldCharType="end"/>
          </w:r>
          <w:r>
            <w:fldChar w:fldCharType="end"/>
          </w:r>
        </w:p>
        <w:p w14:paraId="78041329">
          <w:pPr>
            <w:pStyle w:val="10"/>
            <w:tabs>
              <w:tab w:val="right" w:leader="dot" w:pos="9026"/>
            </w:tabs>
          </w:pPr>
          <w:r>
            <w:fldChar w:fldCharType="begin"/>
          </w:r>
          <w:r>
            <w:instrText xml:space="preserve"> HYPERLINK \l _Toc2131 </w:instrText>
          </w:r>
          <w:r>
            <w:fldChar w:fldCharType="separate"/>
          </w:r>
          <w:r>
            <w:rPr>
              <w:rFonts w:ascii="黑体" w:hAnsi="黑体" w:eastAsia="黑体" w:cs="黑体"/>
              <w:bCs/>
              <w:szCs w:val="32"/>
            </w:rPr>
            <w:t>附录A 屯堡文化术语表</w:t>
          </w:r>
          <w:r>
            <w:tab/>
          </w:r>
          <w:r>
            <w:fldChar w:fldCharType="begin"/>
          </w:r>
          <w:r>
            <w:instrText xml:space="preserve"> PAGEREF _Toc2131 \h </w:instrText>
          </w:r>
          <w:r>
            <w:fldChar w:fldCharType="separate"/>
          </w:r>
          <w:r>
            <w:t>107</w:t>
          </w:r>
          <w:r>
            <w:fldChar w:fldCharType="end"/>
          </w:r>
          <w:r>
            <w:fldChar w:fldCharType="end"/>
          </w:r>
        </w:p>
        <w:p w14:paraId="7F65574C">
          <w:pPr>
            <w:pStyle w:val="12"/>
            <w:tabs>
              <w:tab w:val="right" w:leader="dot" w:pos="9026"/>
            </w:tabs>
          </w:pPr>
          <w:r>
            <w:fldChar w:fldCharType="begin"/>
          </w:r>
          <w:r>
            <w:instrText xml:space="preserve"> HYPERLINK \l _Toc5865 </w:instrText>
          </w:r>
          <w:r>
            <w:fldChar w:fldCharType="separate"/>
          </w:r>
          <w:r>
            <w:rPr>
              <w:rFonts w:ascii="黑体" w:hAnsi="黑体" w:eastAsia="黑体" w:cs="黑体"/>
              <w:bCs/>
              <w:szCs w:val="28"/>
            </w:rPr>
            <w:t>A.1 历史与制度</w:t>
          </w:r>
          <w:r>
            <w:tab/>
          </w:r>
          <w:r>
            <w:fldChar w:fldCharType="begin"/>
          </w:r>
          <w:r>
            <w:instrText xml:space="preserve"> PAGEREF _Toc5865 \h </w:instrText>
          </w:r>
          <w:r>
            <w:fldChar w:fldCharType="separate"/>
          </w:r>
          <w:r>
            <w:t>107</w:t>
          </w:r>
          <w:r>
            <w:fldChar w:fldCharType="end"/>
          </w:r>
          <w:r>
            <w:fldChar w:fldCharType="end"/>
          </w:r>
        </w:p>
        <w:p w14:paraId="73521709">
          <w:pPr>
            <w:pStyle w:val="12"/>
            <w:tabs>
              <w:tab w:val="right" w:leader="dot" w:pos="9026"/>
            </w:tabs>
          </w:pPr>
          <w:r>
            <w:fldChar w:fldCharType="begin"/>
          </w:r>
          <w:r>
            <w:instrText xml:space="preserve"> HYPERLINK \l _Toc31752 </w:instrText>
          </w:r>
          <w:r>
            <w:fldChar w:fldCharType="separate"/>
          </w:r>
          <w:r>
            <w:rPr>
              <w:rFonts w:ascii="黑体" w:hAnsi="黑体" w:eastAsia="黑体" w:cs="黑体"/>
              <w:bCs/>
              <w:szCs w:val="28"/>
            </w:rPr>
            <w:t>A.2 村寨与建筑</w:t>
          </w:r>
          <w:r>
            <w:tab/>
          </w:r>
          <w:r>
            <w:fldChar w:fldCharType="begin"/>
          </w:r>
          <w:r>
            <w:instrText xml:space="preserve"> PAGEREF _Toc31752 \h </w:instrText>
          </w:r>
          <w:r>
            <w:fldChar w:fldCharType="separate"/>
          </w:r>
          <w:r>
            <w:t>107</w:t>
          </w:r>
          <w:r>
            <w:fldChar w:fldCharType="end"/>
          </w:r>
          <w:r>
            <w:fldChar w:fldCharType="end"/>
          </w:r>
        </w:p>
        <w:p w14:paraId="59412A1B">
          <w:pPr>
            <w:pStyle w:val="12"/>
            <w:tabs>
              <w:tab w:val="right" w:leader="dot" w:pos="9026"/>
            </w:tabs>
          </w:pPr>
          <w:r>
            <w:fldChar w:fldCharType="begin"/>
          </w:r>
          <w:r>
            <w:instrText xml:space="preserve"> HYPERLINK \l _Toc16054 </w:instrText>
          </w:r>
          <w:r>
            <w:fldChar w:fldCharType="separate"/>
          </w:r>
          <w:r>
            <w:rPr>
              <w:rFonts w:ascii="黑体" w:hAnsi="黑体" w:eastAsia="黑体" w:cs="黑体"/>
              <w:bCs/>
              <w:szCs w:val="28"/>
            </w:rPr>
            <w:t>A.3 地戏与表演</w:t>
          </w:r>
          <w:r>
            <w:tab/>
          </w:r>
          <w:r>
            <w:fldChar w:fldCharType="begin"/>
          </w:r>
          <w:r>
            <w:instrText xml:space="preserve"> PAGEREF _Toc16054 \h </w:instrText>
          </w:r>
          <w:r>
            <w:fldChar w:fldCharType="separate"/>
          </w:r>
          <w:r>
            <w:t>108</w:t>
          </w:r>
          <w:r>
            <w:fldChar w:fldCharType="end"/>
          </w:r>
          <w:r>
            <w:fldChar w:fldCharType="end"/>
          </w:r>
        </w:p>
        <w:p w14:paraId="22BBC994">
          <w:pPr>
            <w:pStyle w:val="12"/>
            <w:tabs>
              <w:tab w:val="right" w:leader="dot" w:pos="9026"/>
            </w:tabs>
          </w:pPr>
          <w:r>
            <w:fldChar w:fldCharType="begin"/>
          </w:r>
          <w:r>
            <w:instrText xml:space="preserve"> HYPERLINK \l _Toc29305 </w:instrText>
          </w:r>
          <w:r>
            <w:fldChar w:fldCharType="separate"/>
          </w:r>
          <w:r>
            <w:rPr>
              <w:rFonts w:ascii="黑体" w:hAnsi="黑体" w:eastAsia="黑体" w:cs="黑体"/>
              <w:bCs/>
              <w:szCs w:val="28"/>
            </w:rPr>
            <w:t>A.4 服饰与手工艺</w:t>
          </w:r>
          <w:r>
            <w:tab/>
          </w:r>
          <w:r>
            <w:fldChar w:fldCharType="begin"/>
          </w:r>
          <w:r>
            <w:instrText xml:space="preserve"> PAGEREF _Toc29305 \h </w:instrText>
          </w:r>
          <w:r>
            <w:fldChar w:fldCharType="separate"/>
          </w:r>
          <w:r>
            <w:t>108</w:t>
          </w:r>
          <w:r>
            <w:fldChar w:fldCharType="end"/>
          </w:r>
          <w:r>
            <w:fldChar w:fldCharType="end"/>
          </w:r>
        </w:p>
        <w:p w14:paraId="59F145DC">
          <w:pPr>
            <w:pStyle w:val="12"/>
            <w:tabs>
              <w:tab w:val="right" w:leader="dot" w:pos="9026"/>
            </w:tabs>
          </w:pPr>
          <w:r>
            <w:fldChar w:fldCharType="begin"/>
          </w:r>
          <w:r>
            <w:instrText xml:space="preserve"> HYPERLINK \l _Toc11771 </w:instrText>
          </w:r>
          <w:r>
            <w:fldChar w:fldCharType="separate"/>
          </w:r>
          <w:r>
            <w:rPr>
              <w:rFonts w:ascii="黑体" w:hAnsi="黑体" w:eastAsia="黑体" w:cs="黑体"/>
              <w:bCs/>
              <w:szCs w:val="28"/>
            </w:rPr>
            <w:t>A.5 信仰与民俗</w:t>
          </w:r>
          <w:r>
            <w:tab/>
          </w:r>
          <w:r>
            <w:fldChar w:fldCharType="begin"/>
          </w:r>
          <w:r>
            <w:instrText xml:space="preserve"> PAGEREF _Toc11771 \h </w:instrText>
          </w:r>
          <w:r>
            <w:fldChar w:fldCharType="separate"/>
          </w:r>
          <w:r>
            <w:t>109</w:t>
          </w:r>
          <w:r>
            <w:fldChar w:fldCharType="end"/>
          </w:r>
          <w:r>
            <w:fldChar w:fldCharType="end"/>
          </w:r>
        </w:p>
        <w:p w14:paraId="6147D19B">
          <w:pPr>
            <w:pStyle w:val="12"/>
            <w:tabs>
              <w:tab w:val="right" w:leader="dot" w:pos="9026"/>
            </w:tabs>
          </w:pPr>
          <w:r>
            <w:fldChar w:fldCharType="begin"/>
          </w:r>
          <w:r>
            <w:instrText xml:space="preserve"> HYPERLINK \l _Toc22664 </w:instrText>
          </w:r>
          <w:r>
            <w:fldChar w:fldCharType="separate"/>
          </w:r>
          <w:r>
            <w:rPr>
              <w:rFonts w:ascii="黑体" w:hAnsi="黑体" w:eastAsia="黑体" w:cs="黑体"/>
              <w:bCs/>
              <w:szCs w:val="28"/>
            </w:rPr>
            <w:t>A.6 数字化与技术</w:t>
          </w:r>
          <w:r>
            <w:tab/>
          </w:r>
          <w:r>
            <w:fldChar w:fldCharType="begin"/>
          </w:r>
          <w:r>
            <w:instrText xml:space="preserve"> PAGEREF _Toc22664 \h </w:instrText>
          </w:r>
          <w:r>
            <w:fldChar w:fldCharType="separate"/>
          </w:r>
          <w:r>
            <w:t>109</w:t>
          </w:r>
          <w:r>
            <w:fldChar w:fldCharType="end"/>
          </w:r>
          <w:r>
            <w:fldChar w:fldCharType="end"/>
          </w:r>
        </w:p>
        <w:p w14:paraId="3C442201">
          <w:pPr>
            <w:pStyle w:val="12"/>
            <w:tabs>
              <w:tab w:val="right" w:leader="dot" w:pos="9026"/>
            </w:tabs>
          </w:pPr>
          <w:r>
            <w:fldChar w:fldCharType="begin"/>
          </w:r>
          <w:r>
            <w:instrText xml:space="preserve"> HYPERLINK \l _Toc23895 </w:instrText>
          </w:r>
          <w:r>
            <w:fldChar w:fldCharType="separate"/>
          </w:r>
          <w:r>
            <w:rPr>
              <w:rFonts w:ascii="黑体" w:hAnsi="黑体" w:eastAsia="黑体" w:cs="黑体"/>
              <w:bCs/>
              <w:szCs w:val="28"/>
            </w:rPr>
            <w:t>A.7 旅游与保护</w:t>
          </w:r>
          <w:r>
            <w:tab/>
          </w:r>
          <w:r>
            <w:fldChar w:fldCharType="begin"/>
          </w:r>
          <w:r>
            <w:instrText xml:space="preserve"> PAGEREF _Toc23895 \h </w:instrText>
          </w:r>
          <w:r>
            <w:fldChar w:fldCharType="separate"/>
          </w:r>
          <w:r>
            <w:t>110</w:t>
          </w:r>
          <w:r>
            <w:fldChar w:fldCharType="end"/>
          </w:r>
          <w:r>
            <w:fldChar w:fldCharType="end"/>
          </w:r>
        </w:p>
        <w:p w14:paraId="1461351B">
          <w:pPr>
            <w:pStyle w:val="10"/>
            <w:tabs>
              <w:tab w:val="right" w:leader="dot" w:pos="9026"/>
            </w:tabs>
          </w:pPr>
          <w:r>
            <w:fldChar w:fldCharType="begin"/>
          </w:r>
          <w:r>
            <w:instrText xml:space="preserve"> HYPERLINK \l _Toc11896 </w:instrText>
          </w:r>
          <w:r>
            <w:fldChar w:fldCharType="separate"/>
          </w:r>
          <w:r>
            <w:rPr>
              <w:rFonts w:ascii="黑体" w:hAnsi="黑体" w:eastAsia="黑体" w:cs="黑体"/>
              <w:bCs/>
              <w:szCs w:val="32"/>
            </w:rPr>
            <w:t>附录B 屯堡核心村寨与建筑图谱</w:t>
          </w:r>
          <w:r>
            <w:tab/>
          </w:r>
          <w:r>
            <w:fldChar w:fldCharType="begin"/>
          </w:r>
          <w:r>
            <w:instrText xml:space="preserve"> PAGEREF _Toc11896 \h </w:instrText>
          </w:r>
          <w:r>
            <w:fldChar w:fldCharType="separate"/>
          </w:r>
          <w:r>
            <w:t>111</w:t>
          </w:r>
          <w:r>
            <w:fldChar w:fldCharType="end"/>
          </w:r>
          <w:r>
            <w:fldChar w:fldCharType="end"/>
          </w:r>
        </w:p>
        <w:p w14:paraId="12F51552">
          <w:pPr>
            <w:pStyle w:val="12"/>
            <w:tabs>
              <w:tab w:val="right" w:leader="dot" w:pos="9026"/>
            </w:tabs>
          </w:pPr>
          <w:r>
            <w:fldChar w:fldCharType="begin"/>
          </w:r>
          <w:r>
            <w:instrText xml:space="preserve"> HYPERLINK \l _Toc5535 </w:instrText>
          </w:r>
          <w:r>
            <w:fldChar w:fldCharType="separate"/>
          </w:r>
          <w:r>
            <w:rPr>
              <w:rFonts w:ascii="黑体" w:hAnsi="黑体" w:eastAsia="黑体" w:cs="黑体"/>
              <w:bCs/>
              <w:szCs w:val="28"/>
            </w:rPr>
            <w:t>B.1 黔中屯堡文化圈总览</w:t>
          </w:r>
          <w:r>
            <w:tab/>
          </w:r>
          <w:r>
            <w:fldChar w:fldCharType="begin"/>
          </w:r>
          <w:r>
            <w:instrText xml:space="preserve"> PAGEREF _Toc5535 \h </w:instrText>
          </w:r>
          <w:r>
            <w:fldChar w:fldCharType="separate"/>
          </w:r>
          <w:r>
            <w:t>111</w:t>
          </w:r>
          <w:r>
            <w:fldChar w:fldCharType="end"/>
          </w:r>
          <w:r>
            <w:fldChar w:fldCharType="end"/>
          </w:r>
        </w:p>
        <w:p w14:paraId="43BA03EB">
          <w:pPr>
            <w:pStyle w:val="12"/>
            <w:tabs>
              <w:tab w:val="right" w:leader="dot" w:pos="9026"/>
            </w:tabs>
          </w:pPr>
          <w:r>
            <w:fldChar w:fldCharType="begin"/>
          </w:r>
          <w:r>
            <w:instrText xml:space="preserve"> HYPERLINK \l _Toc9466 </w:instrText>
          </w:r>
          <w:r>
            <w:fldChar w:fldCharType="separate"/>
          </w:r>
          <w:r>
            <w:rPr>
              <w:rFonts w:ascii="黑体" w:hAnsi="黑体" w:eastAsia="黑体" w:cs="黑体"/>
              <w:bCs/>
              <w:szCs w:val="28"/>
            </w:rPr>
            <w:t>B.2 天龙屯堡主要建筑</w:t>
          </w:r>
          <w:r>
            <w:tab/>
          </w:r>
          <w:r>
            <w:fldChar w:fldCharType="begin"/>
          </w:r>
          <w:r>
            <w:instrText xml:space="preserve"> PAGEREF _Toc9466 \h </w:instrText>
          </w:r>
          <w:r>
            <w:fldChar w:fldCharType="separate"/>
          </w:r>
          <w:r>
            <w:t>111</w:t>
          </w:r>
          <w:r>
            <w:fldChar w:fldCharType="end"/>
          </w:r>
          <w:r>
            <w:fldChar w:fldCharType="end"/>
          </w:r>
        </w:p>
        <w:p w14:paraId="1A7119E1">
          <w:pPr>
            <w:pStyle w:val="12"/>
            <w:tabs>
              <w:tab w:val="right" w:leader="dot" w:pos="9026"/>
            </w:tabs>
          </w:pPr>
          <w:r>
            <w:fldChar w:fldCharType="begin"/>
          </w:r>
          <w:r>
            <w:instrText xml:space="preserve"> HYPERLINK \l _Toc27430 </w:instrText>
          </w:r>
          <w:r>
            <w:fldChar w:fldCharType="separate"/>
          </w:r>
          <w:r>
            <w:rPr>
              <w:rFonts w:ascii="黑体" w:hAnsi="黑体" w:eastAsia="黑体" w:cs="黑体"/>
              <w:bCs/>
              <w:szCs w:val="28"/>
            </w:rPr>
            <w:t>B.3 本寨主要建筑</w:t>
          </w:r>
          <w:r>
            <w:tab/>
          </w:r>
          <w:r>
            <w:fldChar w:fldCharType="begin"/>
          </w:r>
          <w:r>
            <w:instrText xml:space="preserve"> PAGEREF _Toc27430 \h </w:instrText>
          </w:r>
          <w:r>
            <w:fldChar w:fldCharType="separate"/>
          </w:r>
          <w:r>
            <w:t>112</w:t>
          </w:r>
          <w:r>
            <w:fldChar w:fldCharType="end"/>
          </w:r>
          <w:r>
            <w:fldChar w:fldCharType="end"/>
          </w:r>
        </w:p>
        <w:p w14:paraId="141C711D">
          <w:pPr>
            <w:pStyle w:val="12"/>
            <w:tabs>
              <w:tab w:val="right" w:leader="dot" w:pos="9026"/>
            </w:tabs>
          </w:pPr>
          <w:r>
            <w:fldChar w:fldCharType="begin"/>
          </w:r>
          <w:r>
            <w:instrText xml:space="preserve"> HYPERLINK \l _Toc13274 </w:instrText>
          </w:r>
          <w:r>
            <w:fldChar w:fldCharType="separate"/>
          </w:r>
          <w:r>
            <w:rPr>
              <w:rFonts w:ascii="黑体" w:hAnsi="黑体" w:eastAsia="黑体" w:cs="黑体"/>
              <w:bCs/>
              <w:szCs w:val="28"/>
            </w:rPr>
            <w:t>B.4 云山屯主要建筑</w:t>
          </w:r>
          <w:r>
            <w:tab/>
          </w:r>
          <w:r>
            <w:fldChar w:fldCharType="begin"/>
          </w:r>
          <w:r>
            <w:instrText xml:space="preserve"> PAGEREF _Toc13274 \h </w:instrText>
          </w:r>
          <w:r>
            <w:fldChar w:fldCharType="separate"/>
          </w:r>
          <w:r>
            <w:t>112</w:t>
          </w:r>
          <w:r>
            <w:fldChar w:fldCharType="end"/>
          </w:r>
          <w:r>
            <w:fldChar w:fldCharType="end"/>
          </w:r>
        </w:p>
        <w:p w14:paraId="71DD120D">
          <w:pPr>
            <w:pStyle w:val="12"/>
            <w:tabs>
              <w:tab w:val="right" w:leader="dot" w:pos="9026"/>
            </w:tabs>
          </w:pPr>
          <w:r>
            <w:fldChar w:fldCharType="begin"/>
          </w:r>
          <w:r>
            <w:instrText xml:space="preserve"> HYPERLINK \l _Toc24644 </w:instrText>
          </w:r>
          <w:r>
            <w:fldChar w:fldCharType="separate"/>
          </w:r>
          <w:r>
            <w:rPr>
              <w:rFonts w:ascii="黑体" w:hAnsi="黑体" w:eastAsia="黑体" w:cs="黑体"/>
              <w:bCs/>
              <w:szCs w:val="28"/>
            </w:rPr>
            <w:t>B.5 鲍家屯主要建筑与设施</w:t>
          </w:r>
          <w:r>
            <w:tab/>
          </w:r>
          <w:r>
            <w:fldChar w:fldCharType="begin"/>
          </w:r>
          <w:r>
            <w:instrText xml:space="preserve"> PAGEREF _Toc24644 \h </w:instrText>
          </w:r>
          <w:r>
            <w:fldChar w:fldCharType="separate"/>
          </w:r>
          <w:r>
            <w:t>112</w:t>
          </w:r>
          <w:r>
            <w:fldChar w:fldCharType="end"/>
          </w:r>
          <w:r>
            <w:fldChar w:fldCharType="end"/>
          </w:r>
        </w:p>
        <w:p w14:paraId="51217492">
          <w:pPr>
            <w:pStyle w:val="12"/>
            <w:tabs>
              <w:tab w:val="right" w:leader="dot" w:pos="9026"/>
            </w:tabs>
          </w:pPr>
          <w:r>
            <w:fldChar w:fldCharType="begin"/>
          </w:r>
          <w:r>
            <w:instrText xml:space="preserve"> HYPERLINK \l _Toc32481 </w:instrText>
          </w:r>
          <w:r>
            <w:fldChar w:fldCharType="separate"/>
          </w:r>
          <w:r>
            <w:rPr>
              <w:rFonts w:ascii="黑体" w:hAnsi="黑体" w:eastAsia="黑体" w:cs="黑体"/>
              <w:bCs/>
              <w:szCs w:val="28"/>
            </w:rPr>
            <w:t>B.6 屯堡建筑典型构件图解</w:t>
          </w:r>
          <w:r>
            <w:tab/>
          </w:r>
          <w:r>
            <w:fldChar w:fldCharType="begin"/>
          </w:r>
          <w:r>
            <w:instrText xml:space="preserve"> PAGEREF _Toc32481 \h </w:instrText>
          </w:r>
          <w:r>
            <w:fldChar w:fldCharType="separate"/>
          </w:r>
          <w:r>
            <w:t>113</w:t>
          </w:r>
          <w:r>
            <w:fldChar w:fldCharType="end"/>
          </w:r>
          <w:r>
            <w:fldChar w:fldCharType="end"/>
          </w:r>
        </w:p>
        <w:p w14:paraId="119D16F3">
          <w:pPr>
            <w:pStyle w:val="8"/>
            <w:tabs>
              <w:tab w:val="right" w:leader="dot" w:pos="9026"/>
            </w:tabs>
          </w:pPr>
          <w:r>
            <w:fldChar w:fldCharType="begin"/>
          </w:r>
          <w:r>
            <w:instrText xml:space="preserve"> HYPERLINK \l _Toc20779 </w:instrText>
          </w:r>
          <w:r>
            <w:fldChar w:fldCharType="separate"/>
          </w:r>
          <w:r>
            <w:rPr>
              <w:rFonts w:ascii="黑体" w:hAnsi="黑体" w:eastAsia="黑体" w:cs="黑体"/>
              <w:bCs/>
              <w:szCs w:val="26"/>
            </w:rPr>
            <w:t>B.6.1 石墙构造</w:t>
          </w:r>
          <w:r>
            <w:tab/>
          </w:r>
          <w:r>
            <w:fldChar w:fldCharType="begin"/>
          </w:r>
          <w:r>
            <w:instrText xml:space="preserve"> PAGEREF _Toc20779 \h </w:instrText>
          </w:r>
          <w:r>
            <w:fldChar w:fldCharType="separate"/>
          </w:r>
          <w:r>
            <w:t>113</w:t>
          </w:r>
          <w:r>
            <w:fldChar w:fldCharType="end"/>
          </w:r>
          <w:r>
            <w:fldChar w:fldCharType="end"/>
          </w:r>
        </w:p>
        <w:p w14:paraId="669DEAE4">
          <w:pPr>
            <w:pStyle w:val="8"/>
            <w:tabs>
              <w:tab w:val="right" w:leader="dot" w:pos="9026"/>
            </w:tabs>
          </w:pPr>
          <w:r>
            <w:fldChar w:fldCharType="begin"/>
          </w:r>
          <w:r>
            <w:instrText xml:space="preserve"> HYPERLINK \l _Toc17117 </w:instrText>
          </w:r>
          <w:r>
            <w:fldChar w:fldCharType="separate"/>
          </w:r>
          <w:r>
            <w:rPr>
              <w:rFonts w:ascii="黑体" w:hAnsi="黑体" w:eastAsia="黑体" w:cs="黑体"/>
              <w:bCs/>
              <w:szCs w:val="26"/>
            </w:rPr>
            <w:t>B.6.2 木构架类型</w:t>
          </w:r>
          <w:r>
            <w:tab/>
          </w:r>
          <w:r>
            <w:fldChar w:fldCharType="begin"/>
          </w:r>
          <w:r>
            <w:instrText xml:space="preserve"> PAGEREF _Toc17117 \h </w:instrText>
          </w:r>
          <w:r>
            <w:fldChar w:fldCharType="separate"/>
          </w:r>
          <w:r>
            <w:t>113</w:t>
          </w:r>
          <w:r>
            <w:fldChar w:fldCharType="end"/>
          </w:r>
          <w:r>
            <w:fldChar w:fldCharType="end"/>
          </w:r>
        </w:p>
        <w:p w14:paraId="60A3A32C">
          <w:pPr>
            <w:pStyle w:val="8"/>
            <w:tabs>
              <w:tab w:val="right" w:leader="dot" w:pos="9026"/>
            </w:tabs>
          </w:pPr>
          <w:r>
            <w:fldChar w:fldCharType="begin"/>
          </w:r>
          <w:r>
            <w:instrText xml:space="preserve"> HYPERLINK \l _Toc6982 </w:instrText>
          </w:r>
          <w:r>
            <w:fldChar w:fldCharType="separate"/>
          </w:r>
          <w:r>
            <w:rPr>
              <w:rFonts w:ascii="黑体" w:hAnsi="黑体" w:eastAsia="黑体" w:cs="黑体"/>
              <w:bCs/>
              <w:szCs w:val="26"/>
            </w:rPr>
            <w:t>B.6.3 门窗类型</w:t>
          </w:r>
          <w:r>
            <w:tab/>
          </w:r>
          <w:r>
            <w:fldChar w:fldCharType="begin"/>
          </w:r>
          <w:r>
            <w:instrText xml:space="preserve"> PAGEREF _Toc6982 \h </w:instrText>
          </w:r>
          <w:r>
            <w:fldChar w:fldCharType="separate"/>
          </w:r>
          <w:r>
            <w:t>113</w:t>
          </w:r>
          <w:r>
            <w:fldChar w:fldCharType="end"/>
          </w:r>
          <w:r>
            <w:fldChar w:fldCharType="end"/>
          </w:r>
        </w:p>
        <w:p w14:paraId="6380B47D">
          <w:pPr>
            <w:pStyle w:val="8"/>
            <w:tabs>
              <w:tab w:val="right" w:leader="dot" w:pos="9026"/>
            </w:tabs>
          </w:pPr>
          <w:r>
            <w:fldChar w:fldCharType="begin"/>
          </w:r>
          <w:r>
            <w:instrText xml:space="preserve"> HYPERLINK \l _Toc5116 </w:instrText>
          </w:r>
          <w:r>
            <w:fldChar w:fldCharType="separate"/>
          </w:r>
          <w:r>
            <w:rPr>
              <w:rFonts w:ascii="黑体" w:hAnsi="黑体" w:eastAsia="黑体" w:cs="黑体"/>
              <w:bCs/>
              <w:szCs w:val="26"/>
            </w:rPr>
            <w:t>B.6.4 屋顶类型</w:t>
          </w:r>
          <w:r>
            <w:tab/>
          </w:r>
          <w:r>
            <w:fldChar w:fldCharType="begin"/>
          </w:r>
          <w:r>
            <w:instrText xml:space="preserve"> PAGEREF _Toc5116 \h </w:instrText>
          </w:r>
          <w:r>
            <w:fldChar w:fldCharType="separate"/>
          </w:r>
          <w:r>
            <w:t>113</w:t>
          </w:r>
          <w:r>
            <w:fldChar w:fldCharType="end"/>
          </w:r>
          <w:r>
            <w:fldChar w:fldCharType="end"/>
          </w:r>
        </w:p>
        <w:p w14:paraId="7011F2E5">
          <w:pPr>
            <w:pStyle w:val="12"/>
            <w:tabs>
              <w:tab w:val="right" w:leader="dot" w:pos="9026"/>
            </w:tabs>
          </w:pPr>
          <w:r>
            <w:fldChar w:fldCharType="begin"/>
          </w:r>
          <w:r>
            <w:instrText xml:space="preserve"> HYPERLINK \l _Toc17594 </w:instrText>
          </w:r>
          <w:r>
            <w:fldChar w:fldCharType="separate"/>
          </w:r>
          <w:r>
            <w:rPr>
              <w:rFonts w:ascii="黑体" w:hAnsi="黑体" w:eastAsia="黑体" w:cs="黑体"/>
              <w:bCs/>
              <w:szCs w:val="28"/>
            </w:rPr>
            <w:t>B.7 屯堡建筑测绘基本参数</w:t>
          </w:r>
          <w:r>
            <w:tab/>
          </w:r>
          <w:r>
            <w:fldChar w:fldCharType="begin"/>
          </w:r>
          <w:r>
            <w:instrText xml:space="preserve"> PAGEREF _Toc17594 \h </w:instrText>
          </w:r>
          <w:r>
            <w:fldChar w:fldCharType="separate"/>
          </w:r>
          <w:r>
            <w:t>114</w:t>
          </w:r>
          <w:r>
            <w:fldChar w:fldCharType="end"/>
          </w:r>
          <w:r>
            <w:fldChar w:fldCharType="end"/>
          </w:r>
        </w:p>
        <w:p w14:paraId="75F9DCBF">
          <w:pPr>
            <w:pStyle w:val="10"/>
            <w:tabs>
              <w:tab w:val="right" w:leader="dot" w:pos="9026"/>
            </w:tabs>
          </w:pPr>
          <w:r>
            <w:fldChar w:fldCharType="begin"/>
          </w:r>
          <w:r>
            <w:instrText xml:space="preserve"> HYPERLINK \l _Toc16338 </w:instrText>
          </w:r>
          <w:r>
            <w:fldChar w:fldCharType="separate"/>
          </w:r>
          <w:r>
            <w:rPr>
              <w:rFonts w:ascii="黑体" w:hAnsi="黑体" w:eastAsia="黑体" w:cs="黑体"/>
              <w:bCs/>
              <w:szCs w:val="32"/>
            </w:rPr>
            <w:t>附录C 贵州屯堡文化数字化案例集</w:t>
          </w:r>
          <w:r>
            <w:tab/>
          </w:r>
          <w:r>
            <w:fldChar w:fldCharType="begin"/>
          </w:r>
          <w:r>
            <w:instrText xml:space="preserve"> PAGEREF _Toc16338 \h </w:instrText>
          </w:r>
          <w:r>
            <w:fldChar w:fldCharType="separate"/>
          </w:r>
          <w:r>
            <w:t>115</w:t>
          </w:r>
          <w:r>
            <w:fldChar w:fldCharType="end"/>
          </w:r>
          <w:r>
            <w:fldChar w:fldCharType="end"/>
          </w:r>
        </w:p>
        <w:p w14:paraId="3DE8C18F">
          <w:pPr>
            <w:pStyle w:val="12"/>
            <w:tabs>
              <w:tab w:val="right" w:leader="dot" w:pos="9026"/>
            </w:tabs>
          </w:pPr>
          <w:r>
            <w:fldChar w:fldCharType="begin"/>
          </w:r>
          <w:r>
            <w:instrText xml:space="preserve"> HYPERLINK \l _Toc19648 </w:instrText>
          </w:r>
          <w:r>
            <w:fldChar w:fldCharType="separate"/>
          </w:r>
          <w:r>
            <w:rPr>
              <w:rFonts w:ascii="黑体" w:hAnsi="黑体" w:eastAsia="黑体" w:cs="黑体"/>
              <w:bCs/>
              <w:szCs w:val="28"/>
            </w:rPr>
            <w:t>C.1 云山屯数字孪生项目</w:t>
          </w:r>
          <w:r>
            <w:tab/>
          </w:r>
          <w:r>
            <w:fldChar w:fldCharType="begin"/>
          </w:r>
          <w:r>
            <w:instrText xml:space="preserve"> PAGEREF _Toc19648 \h </w:instrText>
          </w:r>
          <w:r>
            <w:fldChar w:fldCharType="separate"/>
          </w:r>
          <w:r>
            <w:t>115</w:t>
          </w:r>
          <w:r>
            <w:fldChar w:fldCharType="end"/>
          </w:r>
          <w:r>
            <w:fldChar w:fldCharType="end"/>
          </w:r>
        </w:p>
        <w:p w14:paraId="7CC421D5">
          <w:pPr>
            <w:pStyle w:val="12"/>
            <w:tabs>
              <w:tab w:val="right" w:leader="dot" w:pos="9026"/>
            </w:tabs>
          </w:pPr>
          <w:r>
            <w:fldChar w:fldCharType="begin"/>
          </w:r>
          <w:r>
            <w:instrText xml:space="preserve"> HYPERLINK \l _Toc30919 </w:instrText>
          </w:r>
          <w:r>
            <w:fldChar w:fldCharType="separate"/>
          </w:r>
          <w:r>
            <w:rPr>
              <w:rFonts w:ascii="黑体" w:hAnsi="黑体" w:eastAsia="黑体" w:cs="黑体"/>
              <w:bCs/>
              <w:szCs w:val="28"/>
            </w:rPr>
            <w:t>C.2 贵州大学"黔影新生"AI文创项目</w:t>
          </w:r>
          <w:r>
            <w:tab/>
          </w:r>
          <w:r>
            <w:fldChar w:fldCharType="begin"/>
          </w:r>
          <w:r>
            <w:instrText xml:space="preserve"> PAGEREF _Toc30919 \h </w:instrText>
          </w:r>
          <w:r>
            <w:fldChar w:fldCharType="separate"/>
          </w:r>
          <w:r>
            <w:t>115</w:t>
          </w:r>
          <w:r>
            <w:fldChar w:fldCharType="end"/>
          </w:r>
          <w:r>
            <w:fldChar w:fldCharType="end"/>
          </w:r>
        </w:p>
        <w:p w14:paraId="0EDEDE29">
          <w:pPr>
            <w:pStyle w:val="12"/>
            <w:tabs>
              <w:tab w:val="right" w:leader="dot" w:pos="9026"/>
            </w:tabs>
          </w:pPr>
          <w:r>
            <w:fldChar w:fldCharType="begin"/>
          </w:r>
          <w:r>
            <w:instrText xml:space="preserve"> HYPERLINK \l _Toc21483 </w:instrText>
          </w:r>
          <w:r>
            <w:fldChar w:fldCharType="separate"/>
          </w:r>
          <w:r>
            <w:rPr>
              <w:rFonts w:ascii="黑体" w:hAnsi="黑体" w:eastAsia="黑体" w:cs="黑体"/>
              <w:bCs/>
              <w:szCs w:val="28"/>
            </w:rPr>
            <w:t>C.3 天龙屯堡智慧景区建设</w:t>
          </w:r>
          <w:r>
            <w:tab/>
          </w:r>
          <w:r>
            <w:fldChar w:fldCharType="begin"/>
          </w:r>
          <w:r>
            <w:instrText xml:space="preserve"> PAGEREF _Toc21483 \h </w:instrText>
          </w:r>
          <w:r>
            <w:fldChar w:fldCharType="separate"/>
          </w:r>
          <w:r>
            <w:t>116</w:t>
          </w:r>
          <w:r>
            <w:fldChar w:fldCharType="end"/>
          </w:r>
          <w:r>
            <w:fldChar w:fldCharType="end"/>
          </w:r>
        </w:p>
        <w:p w14:paraId="06266853">
          <w:pPr>
            <w:pStyle w:val="12"/>
            <w:tabs>
              <w:tab w:val="right" w:leader="dot" w:pos="9026"/>
            </w:tabs>
          </w:pPr>
          <w:r>
            <w:fldChar w:fldCharType="begin"/>
          </w:r>
          <w:r>
            <w:instrText xml:space="preserve"> HYPERLINK \l _Toc24003 </w:instrText>
          </w:r>
          <w:r>
            <w:fldChar w:fldCharType="separate"/>
          </w:r>
          <w:r>
            <w:rPr>
              <w:rFonts w:ascii="黑体" w:hAnsi="黑体" w:eastAsia="黑体" w:cs="黑体"/>
              <w:bCs/>
              <w:szCs w:val="28"/>
            </w:rPr>
            <w:t>C.4 安顺学院屯堡文化知识图谱</w:t>
          </w:r>
          <w:r>
            <w:tab/>
          </w:r>
          <w:r>
            <w:fldChar w:fldCharType="begin"/>
          </w:r>
          <w:r>
            <w:instrText xml:space="preserve"> PAGEREF _Toc24003 \h </w:instrText>
          </w:r>
          <w:r>
            <w:fldChar w:fldCharType="separate"/>
          </w:r>
          <w:r>
            <w:t>117</w:t>
          </w:r>
          <w:r>
            <w:fldChar w:fldCharType="end"/>
          </w:r>
          <w:r>
            <w:fldChar w:fldCharType="end"/>
          </w:r>
        </w:p>
        <w:p w14:paraId="28973A94">
          <w:pPr>
            <w:pStyle w:val="12"/>
            <w:tabs>
              <w:tab w:val="right" w:leader="dot" w:pos="9026"/>
            </w:tabs>
          </w:pPr>
          <w:r>
            <w:fldChar w:fldCharType="begin"/>
          </w:r>
          <w:r>
            <w:instrText xml:space="preserve"> HYPERLINK \l _Toc930 </w:instrText>
          </w:r>
          <w:r>
            <w:fldChar w:fldCharType="separate"/>
          </w:r>
          <w:r>
            <w:rPr>
              <w:rFonts w:ascii="黑体" w:hAnsi="黑体" w:eastAsia="黑体" w:cs="黑体"/>
              <w:bCs/>
              <w:szCs w:val="28"/>
            </w:rPr>
            <w:t>C.5 鲍家屯古水利系统数字化监测</w:t>
          </w:r>
          <w:r>
            <w:tab/>
          </w:r>
          <w:r>
            <w:fldChar w:fldCharType="begin"/>
          </w:r>
          <w:r>
            <w:instrText xml:space="preserve"> PAGEREF _Toc930 \h </w:instrText>
          </w:r>
          <w:r>
            <w:fldChar w:fldCharType="separate"/>
          </w:r>
          <w:r>
            <w:t>117</w:t>
          </w:r>
          <w:r>
            <w:fldChar w:fldCharType="end"/>
          </w:r>
          <w:r>
            <w:fldChar w:fldCharType="end"/>
          </w:r>
        </w:p>
        <w:p w14:paraId="3C859A1E">
          <w:pPr>
            <w:pStyle w:val="12"/>
            <w:tabs>
              <w:tab w:val="right" w:leader="dot" w:pos="9026"/>
            </w:tabs>
          </w:pPr>
          <w:r>
            <w:fldChar w:fldCharType="begin"/>
          </w:r>
          <w:r>
            <w:instrText xml:space="preserve"> HYPERLINK \l _Toc18501 </w:instrText>
          </w:r>
          <w:r>
            <w:fldChar w:fldCharType="separate"/>
          </w:r>
          <w:r>
            <w:rPr>
              <w:rFonts w:ascii="黑体" w:hAnsi="黑体" w:eastAsia="黑体" w:cs="黑体"/>
              <w:bCs/>
              <w:szCs w:val="28"/>
            </w:rPr>
            <w:t>C.6 地戏动作捕捉与数字传承</w:t>
          </w:r>
          <w:r>
            <w:tab/>
          </w:r>
          <w:r>
            <w:fldChar w:fldCharType="begin"/>
          </w:r>
          <w:r>
            <w:instrText xml:space="preserve"> PAGEREF _Toc18501 \h </w:instrText>
          </w:r>
          <w:r>
            <w:fldChar w:fldCharType="separate"/>
          </w:r>
          <w:r>
            <w:t>118</w:t>
          </w:r>
          <w:r>
            <w:fldChar w:fldCharType="end"/>
          </w:r>
          <w:r>
            <w:fldChar w:fldCharType="end"/>
          </w:r>
        </w:p>
        <w:p w14:paraId="7695B259">
          <w:pPr>
            <w:pStyle w:val="12"/>
            <w:tabs>
              <w:tab w:val="right" w:leader="dot" w:pos="9026"/>
            </w:tabs>
          </w:pPr>
          <w:r>
            <w:fldChar w:fldCharType="begin"/>
          </w:r>
          <w:r>
            <w:instrText xml:space="preserve"> HYPERLINK \l _Toc5707 </w:instrText>
          </w:r>
          <w:r>
            <w:fldChar w:fldCharType="separate"/>
          </w:r>
          <w:r>
            <w:rPr>
              <w:rFonts w:ascii="黑体" w:hAnsi="黑体" w:eastAsia="黑体" w:cs="黑体"/>
              <w:bCs/>
              <w:szCs w:val="28"/>
            </w:rPr>
            <w:t>C.7 5G+屯堡文旅应用</w:t>
          </w:r>
          <w:r>
            <w:tab/>
          </w:r>
          <w:r>
            <w:fldChar w:fldCharType="begin"/>
          </w:r>
          <w:r>
            <w:instrText xml:space="preserve"> PAGEREF _Toc5707 \h </w:instrText>
          </w:r>
          <w:r>
            <w:fldChar w:fldCharType="separate"/>
          </w:r>
          <w:r>
            <w:t>118</w:t>
          </w:r>
          <w:r>
            <w:fldChar w:fldCharType="end"/>
          </w:r>
          <w:r>
            <w:fldChar w:fldCharType="end"/>
          </w:r>
        </w:p>
        <w:p w14:paraId="52EBA9C6">
          <w:pPr>
            <w:pStyle w:val="12"/>
            <w:tabs>
              <w:tab w:val="right" w:leader="dot" w:pos="9026"/>
            </w:tabs>
          </w:pPr>
          <w:r>
            <w:fldChar w:fldCharType="begin"/>
          </w:r>
          <w:r>
            <w:instrText xml:space="preserve"> HYPERLINK \l _Toc23640 </w:instrText>
          </w:r>
          <w:r>
            <w:fldChar w:fldCharType="separate"/>
          </w:r>
          <w:r>
            <w:rPr>
              <w:rFonts w:ascii="黑体" w:hAnsi="黑体" w:eastAsia="黑体" w:cs="黑体"/>
              <w:bCs/>
              <w:szCs w:val="28"/>
            </w:rPr>
            <w:t>C.8 案例启示总结</w:t>
          </w:r>
          <w:r>
            <w:tab/>
          </w:r>
          <w:r>
            <w:fldChar w:fldCharType="begin"/>
          </w:r>
          <w:r>
            <w:instrText xml:space="preserve"> PAGEREF _Toc23640 \h </w:instrText>
          </w:r>
          <w:r>
            <w:fldChar w:fldCharType="separate"/>
          </w:r>
          <w:r>
            <w:t>118</w:t>
          </w:r>
          <w:r>
            <w:fldChar w:fldCharType="end"/>
          </w:r>
          <w:r>
            <w:fldChar w:fldCharType="end"/>
          </w:r>
        </w:p>
        <w:p w14:paraId="2AF62601">
          <w:pPr>
            <w:pStyle w:val="10"/>
            <w:tabs>
              <w:tab w:val="right" w:leader="dot" w:pos="9026"/>
            </w:tabs>
          </w:pPr>
          <w:r>
            <w:fldChar w:fldCharType="begin"/>
          </w:r>
          <w:r>
            <w:instrText xml:space="preserve"> HYPERLINK \l _Toc11779 </w:instrText>
          </w:r>
          <w:r>
            <w:fldChar w:fldCharType="separate"/>
          </w:r>
          <w:r>
            <w:rPr>
              <w:rFonts w:ascii="黑体" w:hAnsi="黑体" w:eastAsia="黑体" w:cs="黑体"/>
              <w:bCs/>
              <w:szCs w:val="32"/>
            </w:rPr>
            <w:t>附录D 文化遗产数字化工具与技术平台</w:t>
          </w:r>
          <w:r>
            <w:tab/>
          </w:r>
          <w:r>
            <w:fldChar w:fldCharType="begin"/>
          </w:r>
          <w:r>
            <w:instrText xml:space="preserve"> PAGEREF _Toc11779 \h </w:instrText>
          </w:r>
          <w:r>
            <w:fldChar w:fldCharType="separate"/>
          </w:r>
          <w:r>
            <w:t>120</w:t>
          </w:r>
          <w:r>
            <w:fldChar w:fldCharType="end"/>
          </w:r>
          <w:r>
            <w:fldChar w:fldCharType="end"/>
          </w:r>
        </w:p>
        <w:p w14:paraId="74A4F23A">
          <w:pPr>
            <w:pStyle w:val="12"/>
            <w:tabs>
              <w:tab w:val="right" w:leader="dot" w:pos="9026"/>
            </w:tabs>
          </w:pPr>
          <w:r>
            <w:fldChar w:fldCharType="begin"/>
          </w:r>
          <w:r>
            <w:instrText xml:space="preserve"> HYPERLINK \l _Toc28925 </w:instrText>
          </w:r>
          <w:r>
            <w:fldChar w:fldCharType="separate"/>
          </w:r>
          <w:r>
            <w:rPr>
              <w:rFonts w:ascii="黑体" w:hAnsi="黑体" w:eastAsia="黑体" w:cs="黑体"/>
              <w:bCs/>
              <w:szCs w:val="28"/>
            </w:rPr>
            <w:t>D.1 三维数据采集工具</w:t>
          </w:r>
          <w:r>
            <w:tab/>
          </w:r>
          <w:r>
            <w:fldChar w:fldCharType="begin"/>
          </w:r>
          <w:r>
            <w:instrText xml:space="preserve"> PAGEREF _Toc28925 \h </w:instrText>
          </w:r>
          <w:r>
            <w:fldChar w:fldCharType="separate"/>
          </w:r>
          <w:r>
            <w:t>120</w:t>
          </w:r>
          <w:r>
            <w:fldChar w:fldCharType="end"/>
          </w:r>
          <w:r>
            <w:fldChar w:fldCharType="end"/>
          </w:r>
        </w:p>
        <w:p w14:paraId="5CBB2FA0">
          <w:pPr>
            <w:pStyle w:val="12"/>
            <w:tabs>
              <w:tab w:val="right" w:leader="dot" w:pos="9026"/>
            </w:tabs>
          </w:pPr>
          <w:r>
            <w:fldChar w:fldCharType="begin"/>
          </w:r>
          <w:r>
            <w:instrText xml:space="preserve"> HYPERLINK \l _Toc21969 </w:instrText>
          </w:r>
          <w:r>
            <w:fldChar w:fldCharType="separate"/>
          </w:r>
          <w:r>
            <w:rPr>
              <w:rFonts w:ascii="黑体" w:hAnsi="黑体" w:eastAsia="黑体" w:cs="黑体"/>
              <w:bCs/>
              <w:szCs w:val="28"/>
            </w:rPr>
            <w:t>D.2 摄影与影像工具</w:t>
          </w:r>
          <w:r>
            <w:tab/>
          </w:r>
          <w:r>
            <w:fldChar w:fldCharType="begin"/>
          </w:r>
          <w:r>
            <w:instrText xml:space="preserve"> PAGEREF _Toc21969 \h </w:instrText>
          </w:r>
          <w:r>
            <w:fldChar w:fldCharType="separate"/>
          </w:r>
          <w:r>
            <w:t>120</w:t>
          </w:r>
          <w:r>
            <w:fldChar w:fldCharType="end"/>
          </w:r>
          <w:r>
            <w:fldChar w:fldCharType="end"/>
          </w:r>
        </w:p>
        <w:p w14:paraId="7D3E8151">
          <w:pPr>
            <w:pStyle w:val="12"/>
            <w:tabs>
              <w:tab w:val="right" w:leader="dot" w:pos="9026"/>
            </w:tabs>
          </w:pPr>
          <w:r>
            <w:fldChar w:fldCharType="begin"/>
          </w:r>
          <w:r>
            <w:instrText xml:space="preserve"> HYPERLINK \l _Toc23803 </w:instrText>
          </w:r>
          <w:r>
            <w:fldChar w:fldCharType="separate"/>
          </w:r>
          <w:r>
            <w:rPr>
              <w:rFonts w:ascii="黑体" w:hAnsi="黑体" w:eastAsia="黑体" w:cs="黑体"/>
              <w:bCs/>
              <w:szCs w:val="28"/>
            </w:rPr>
            <w:t>D.3 点云处理与三维建模软件</w:t>
          </w:r>
          <w:r>
            <w:tab/>
          </w:r>
          <w:r>
            <w:fldChar w:fldCharType="begin"/>
          </w:r>
          <w:r>
            <w:instrText xml:space="preserve"> PAGEREF _Toc23803 \h </w:instrText>
          </w:r>
          <w:r>
            <w:fldChar w:fldCharType="separate"/>
          </w:r>
          <w:r>
            <w:t>120</w:t>
          </w:r>
          <w:r>
            <w:fldChar w:fldCharType="end"/>
          </w:r>
          <w:r>
            <w:fldChar w:fldCharType="end"/>
          </w:r>
        </w:p>
        <w:p w14:paraId="5CF58724">
          <w:pPr>
            <w:pStyle w:val="12"/>
            <w:tabs>
              <w:tab w:val="right" w:leader="dot" w:pos="9026"/>
            </w:tabs>
          </w:pPr>
          <w:r>
            <w:fldChar w:fldCharType="begin"/>
          </w:r>
          <w:r>
            <w:instrText xml:space="preserve"> HYPERLINK \l _Toc10680 </w:instrText>
          </w:r>
          <w:r>
            <w:fldChar w:fldCharType="separate"/>
          </w:r>
          <w:r>
            <w:rPr>
              <w:rFonts w:ascii="黑体" w:hAnsi="黑体" w:eastAsia="黑体" w:cs="黑体"/>
              <w:bCs/>
              <w:szCs w:val="28"/>
            </w:rPr>
            <w:t>D.4 BIM/HBIM软件</w:t>
          </w:r>
          <w:r>
            <w:tab/>
          </w:r>
          <w:r>
            <w:fldChar w:fldCharType="begin"/>
          </w:r>
          <w:r>
            <w:instrText xml:space="preserve"> PAGEREF _Toc10680 \h </w:instrText>
          </w:r>
          <w:r>
            <w:fldChar w:fldCharType="separate"/>
          </w:r>
          <w:r>
            <w:t>121</w:t>
          </w:r>
          <w:r>
            <w:fldChar w:fldCharType="end"/>
          </w:r>
          <w:r>
            <w:fldChar w:fldCharType="end"/>
          </w:r>
        </w:p>
        <w:p w14:paraId="0CF55583">
          <w:pPr>
            <w:pStyle w:val="12"/>
            <w:tabs>
              <w:tab w:val="right" w:leader="dot" w:pos="9026"/>
            </w:tabs>
          </w:pPr>
          <w:r>
            <w:fldChar w:fldCharType="begin"/>
          </w:r>
          <w:r>
            <w:instrText xml:space="preserve"> HYPERLINK \l _Toc21314 </w:instrText>
          </w:r>
          <w:r>
            <w:fldChar w:fldCharType="separate"/>
          </w:r>
          <w:r>
            <w:rPr>
              <w:rFonts w:ascii="黑体" w:hAnsi="黑体" w:eastAsia="黑体" w:cs="黑体"/>
              <w:bCs/>
              <w:szCs w:val="28"/>
            </w:rPr>
            <w:t>D.5 GIS与空间分析工具</w:t>
          </w:r>
          <w:r>
            <w:tab/>
          </w:r>
          <w:r>
            <w:fldChar w:fldCharType="begin"/>
          </w:r>
          <w:r>
            <w:instrText xml:space="preserve"> PAGEREF _Toc21314 \h </w:instrText>
          </w:r>
          <w:r>
            <w:fldChar w:fldCharType="separate"/>
          </w:r>
          <w:r>
            <w:t>121</w:t>
          </w:r>
          <w:r>
            <w:fldChar w:fldCharType="end"/>
          </w:r>
          <w:r>
            <w:fldChar w:fldCharType="end"/>
          </w:r>
        </w:p>
        <w:p w14:paraId="3CCCB794">
          <w:pPr>
            <w:pStyle w:val="12"/>
            <w:tabs>
              <w:tab w:val="right" w:leader="dot" w:pos="9026"/>
            </w:tabs>
          </w:pPr>
          <w:r>
            <w:fldChar w:fldCharType="begin"/>
          </w:r>
          <w:r>
            <w:instrText xml:space="preserve"> HYPERLINK \l _Toc17428 </w:instrText>
          </w:r>
          <w:r>
            <w:fldChar w:fldCharType="separate"/>
          </w:r>
          <w:r>
            <w:rPr>
              <w:rFonts w:ascii="黑体" w:hAnsi="黑体" w:eastAsia="黑体" w:cs="黑体"/>
              <w:bCs/>
              <w:szCs w:val="28"/>
            </w:rPr>
            <w:t>D.6 知识图谱工具</w:t>
          </w:r>
          <w:r>
            <w:tab/>
          </w:r>
          <w:r>
            <w:fldChar w:fldCharType="begin"/>
          </w:r>
          <w:r>
            <w:instrText xml:space="preserve"> PAGEREF _Toc17428 \h </w:instrText>
          </w:r>
          <w:r>
            <w:fldChar w:fldCharType="separate"/>
          </w:r>
          <w:r>
            <w:t>121</w:t>
          </w:r>
          <w:r>
            <w:fldChar w:fldCharType="end"/>
          </w:r>
          <w:r>
            <w:fldChar w:fldCharType="end"/>
          </w:r>
        </w:p>
        <w:p w14:paraId="4DB90090">
          <w:pPr>
            <w:pStyle w:val="12"/>
            <w:tabs>
              <w:tab w:val="right" w:leader="dot" w:pos="9026"/>
            </w:tabs>
          </w:pPr>
          <w:r>
            <w:fldChar w:fldCharType="begin"/>
          </w:r>
          <w:r>
            <w:instrText xml:space="preserve"> HYPERLINK \l _Toc4923 </w:instrText>
          </w:r>
          <w:r>
            <w:fldChar w:fldCharType="separate"/>
          </w:r>
          <w:r>
            <w:rPr>
              <w:rFonts w:ascii="黑体" w:hAnsi="黑体" w:eastAsia="黑体" w:cs="黑体"/>
              <w:bCs/>
              <w:szCs w:val="28"/>
            </w:rPr>
            <w:t>D.7 VR/AR开发平台</w:t>
          </w:r>
          <w:r>
            <w:tab/>
          </w:r>
          <w:r>
            <w:fldChar w:fldCharType="begin"/>
          </w:r>
          <w:r>
            <w:instrText xml:space="preserve"> PAGEREF _Toc4923 \h </w:instrText>
          </w:r>
          <w:r>
            <w:fldChar w:fldCharType="separate"/>
          </w:r>
          <w:r>
            <w:t>121</w:t>
          </w:r>
          <w:r>
            <w:fldChar w:fldCharType="end"/>
          </w:r>
          <w:r>
            <w:fldChar w:fldCharType="end"/>
          </w:r>
        </w:p>
        <w:p w14:paraId="1CCE273D">
          <w:pPr>
            <w:pStyle w:val="12"/>
            <w:tabs>
              <w:tab w:val="right" w:leader="dot" w:pos="9026"/>
            </w:tabs>
          </w:pPr>
          <w:r>
            <w:fldChar w:fldCharType="begin"/>
          </w:r>
          <w:r>
            <w:instrText xml:space="preserve"> HYPERLINK \l _Toc17189 </w:instrText>
          </w:r>
          <w:r>
            <w:fldChar w:fldCharType="separate"/>
          </w:r>
          <w:r>
            <w:rPr>
              <w:rFonts w:ascii="黑体" w:hAnsi="黑体" w:eastAsia="黑体" w:cs="黑体"/>
              <w:bCs/>
              <w:szCs w:val="28"/>
            </w:rPr>
            <w:t>D.8 AI工具</w:t>
          </w:r>
          <w:r>
            <w:tab/>
          </w:r>
          <w:r>
            <w:fldChar w:fldCharType="begin"/>
          </w:r>
          <w:r>
            <w:instrText xml:space="preserve"> PAGEREF _Toc17189 \h </w:instrText>
          </w:r>
          <w:r>
            <w:fldChar w:fldCharType="separate"/>
          </w:r>
          <w:r>
            <w:t>122</w:t>
          </w:r>
          <w:r>
            <w:fldChar w:fldCharType="end"/>
          </w:r>
          <w:r>
            <w:fldChar w:fldCharType="end"/>
          </w:r>
        </w:p>
        <w:p w14:paraId="4D6984B6">
          <w:pPr>
            <w:pStyle w:val="12"/>
            <w:tabs>
              <w:tab w:val="right" w:leader="dot" w:pos="9026"/>
            </w:tabs>
          </w:pPr>
          <w:r>
            <w:fldChar w:fldCharType="begin"/>
          </w:r>
          <w:r>
            <w:instrText xml:space="preserve"> HYPERLINK \l _Toc5304 </w:instrText>
          </w:r>
          <w:r>
            <w:fldChar w:fldCharType="separate"/>
          </w:r>
          <w:r>
            <w:rPr>
              <w:rFonts w:ascii="黑体" w:hAnsi="黑体" w:eastAsia="黑体" w:cs="黑体"/>
              <w:bCs/>
              <w:szCs w:val="28"/>
            </w:rPr>
            <w:t>D.9 数字资产管理平台</w:t>
          </w:r>
          <w:r>
            <w:tab/>
          </w:r>
          <w:r>
            <w:fldChar w:fldCharType="begin"/>
          </w:r>
          <w:r>
            <w:instrText xml:space="preserve"> PAGEREF _Toc5304 \h </w:instrText>
          </w:r>
          <w:r>
            <w:fldChar w:fldCharType="separate"/>
          </w:r>
          <w:r>
            <w:t>122</w:t>
          </w:r>
          <w:r>
            <w:fldChar w:fldCharType="end"/>
          </w:r>
          <w:r>
            <w:fldChar w:fldCharType="end"/>
          </w:r>
        </w:p>
        <w:p w14:paraId="1E38BFFC">
          <w:pPr>
            <w:pStyle w:val="12"/>
            <w:tabs>
              <w:tab w:val="right" w:leader="dot" w:pos="9026"/>
            </w:tabs>
          </w:pPr>
          <w:r>
            <w:fldChar w:fldCharType="begin"/>
          </w:r>
          <w:r>
            <w:instrText xml:space="preserve"> HYPERLINK \l _Toc4026 </w:instrText>
          </w:r>
          <w:r>
            <w:fldChar w:fldCharType="separate"/>
          </w:r>
          <w:r>
            <w:rPr>
              <w:rFonts w:ascii="黑体" w:hAnsi="黑体" w:eastAsia="黑体" w:cs="黑体"/>
              <w:bCs/>
              <w:szCs w:val="28"/>
            </w:rPr>
            <w:t>D.10 推荐学习路径</w:t>
          </w:r>
          <w:r>
            <w:tab/>
          </w:r>
          <w:r>
            <w:fldChar w:fldCharType="begin"/>
          </w:r>
          <w:r>
            <w:instrText xml:space="preserve"> PAGEREF _Toc4026 \h </w:instrText>
          </w:r>
          <w:r>
            <w:fldChar w:fldCharType="separate"/>
          </w:r>
          <w:r>
            <w:t>122</w:t>
          </w:r>
          <w:r>
            <w:fldChar w:fldCharType="end"/>
          </w:r>
          <w:r>
            <w:fldChar w:fldCharType="end"/>
          </w:r>
        </w:p>
        <w:p w14:paraId="56C654F8">
          <w:pPr>
            <w:pStyle w:val="8"/>
            <w:tabs>
              <w:tab w:val="right" w:leader="dot" w:pos="9026"/>
            </w:tabs>
          </w:pPr>
          <w:r>
            <w:fldChar w:fldCharType="begin"/>
          </w:r>
          <w:r>
            <w:instrText xml:space="preserve"> HYPERLINK \l _Toc21614 </w:instrText>
          </w:r>
          <w:r>
            <w:fldChar w:fldCharType="separate"/>
          </w:r>
          <w:r>
            <w:rPr>
              <w:rFonts w:ascii="黑体" w:hAnsi="黑体" w:eastAsia="黑体" w:cs="黑体"/>
              <w:bCs/>
              <w:szCs w:val="26"/>
            </w:rPr>
            <w:t>初学者（本科低年级）</w:t>
          </w:r>
          <w:r>
            <w:tab/>
          </w:r>
          <w:r>
            <w:fldChar w:fldCharType="begin"/>
          </w:r>
          <w:r>
            <w:instrText xml:space="preserve"> PAGEREF _Toc21614 \h </w:instrText>
          </w:r>
          <w:r>
            <w:fldChar w:fldCharType="separate"/>
          </w:r>
          <w:r>
            <w:t>122</w:t>
          </w:r>
          <w:r>
            <w:fldChar w:fldCharType="end"/>
          </w:r>
          <w:r>
            <w:fldChar w:fldCharType="end"/>
          </w:r>
        </w:p>
        <w:p w14:paraId="516F59A6">
          <w:pPr>
            <w:pStyle w:val="8"/>
            <w:tabs>
              <w:tab w:val="right" w:leader="dot" w:pos="9026"/>
            </w:tabs>
          </w:pPr>
          <w:r>
            <w:fldChar w:fldCharType="begin"/>
          </w:r>
          <w:r>
            <w:instrText xml:space="preserve"> HYPERLINK \l _Toc5715 </w:instrText>
          </w:r>
          <w:r>
            <w:fldChar w:fldCharType="separate"/>
          </w:r>
          <w:r>
            <w:rPr>
              <w:rFonts w:ascii="黑体" w:hAnsi="黑体" w:eastAsia="黑体" w:cs="黑体"/>
              <w:bCs/>
              <w:szCs w:val="26"/>
            </w:rPr>
            <w:t>进阶者（本科高年级/研究生）</w:t>
          </w:r>
          <w:r>
            <w:tab/>
          </w:r>
          <w:r>
            <w:fldChar w:fldCharType="begin"/>
          </w:r>
          <w:r>
            <w:instrText xml:space="preserve"> PAGEREF _Toc5715 \h </w:instrText>
          </w:r>
          <w:r>
            <w:fldChar w:fldCharType="separate"/>
          </w:r>
          <w:r>
            <w:t>123</w:t>
          </w:r>
          <w:r>
            <w:fldChar w:fldCharType="end"/>
          </w:r>
          <w:r>
            <w:fldChar w:fldCharType="end"/>
          </w:r>
        </w:p>
        <w:p w14:paraId="6CE04D70">
          <w:pPr>
            <w:pStyle w:val="8"/>
            <w:tabs>
              <w:tab w:val="right" w:leader="dot" w:pos="9026"/>
            </w:tabs>
          </w:pPr>
          <w:r>
            <w:fldChar w:fldCharType="begin"/>
          </w:r>
          <w:r>
            <w:instrText xml:space="preserve"> HYPERLINK \l _Toc19732 </w:instrText>
          </w:r>
          <w:r>
            <w:fldChar w:fldCharType="separate"/>
          </w:r>
          <w:r>
            <w:rPr>
              <w:rFonts w:ascii="黑体" w:hAnsi="黑体" w:eastAsia="黑体" w:cs="黑体"/>
              <w:bCs/>
              <w:szCs w:val="26"/>
            </w:rPr>
            <w:t>专业者（研究人员/从业者）</w:t>
          </w:r>
          <w:r>
            <w:tab/>
          </w:r>
          <w:r>
            <w:fldChar w:fldCharType="begin"/>
          </w:r>
          <w:r>
            <w:instrText xml:space="preserve"> PAGEREF _Toc19732 \h </w:instrText>
          </w:r>
          <w:r>
            <w:fldChar w:fldCharType="separate"/>
          </w:r>
          <w:r>
            <w:t>123</w:t>
          </w:r>
          <w:r>
            <w:fldChar w:fldCharType="end"/>
          </w:r>
          <w:r>
            <w:fldChar w:fldCharType="end"/>
          </w:r>
        </w:p>
        <w:p w14:paraId="1BA241E8">
          <w:pPr>
            <w:pStyle w:val="10"/>
            <w:tabs>
              <w:tab w:val="right" w:leader="dot" w:pos="9026"/>
            </w:tabs>
          </w:pPr>
          <w:r>
            <w:fldChar w:fldCharType="begin"/>
          </w:r>
          <w:r>
            <w:instrText xml:space="preserve"> HYPERLINK \l _Toc28212 </w:instrText>
          </w:r>
          <w:r>
            <w:fldChar w:fldCharType="separate"/>
          </w:r>
          <w:r>
            <w:rPr>
              <w:rFonts w:ascii="黑体" w:hAnsi="黑体" w:eastAsia="黑体" w:cs="黑体"/>
              <w:bCs/>
              <w:szCs w:val="32"/>
            </w:rPr>
            <w:t>附录E 课程教学大纲与实验方案</w:t>
          </w:r>
          <w:r>
            <w:tab/>
          </w:r>
          <w:r>
            <w:fldChar w:fldCharType="begin"/>
          </w:r>
          <w:r>
            <w:instrText xml:space="preserve"> PAGEREF _Toc28212 \h </w:instrText>
          </w:r>
          <w:r>
            <w:fldChar w:fldCharType="separate"/>
          </w:r>
          <w:r>
            <w:t>124</w:t>
          </w:r>
          <w:r>
            <w:fldChar w:fldCharType="end"/>
          </w:r>
          <w:r>
            <w:fldChar w:fldCharType="end"/>
          </w:r>
        </w:p>
        <w:p w14:paraId="3F9F3CF6">
          <w:pPr>
            <w:pStyle w:val="12"/>
            <w:tabs>
              <w:tab w:val="right" w:leader="dot" w:pos="9026"/>
            </w:tabs>
          </w:pPr>
          <w:r>
            <w:fldChar w:fldCharType="begin"/>
          </w:r>
          <w:r>
            <w:instrText xml:space="preserve"> HYPERLINK \l _Toc19099 </w:instrText>
          </w:r>
          <w:r>
            <w:fldChar w:fldCharType="separate"/>
          </w:r>
          <w:r>
            <w:rPr>
              <w:rFonts w:ascii="黑体" w:hAnsi="黑体" w:eastAsia="黑体" w:cs="黑体"/>
              <w:bCs/>
              <w:szCs w:val="28"/>
            </w:rPr>
            <w:t>E.1 课程基本信息</w:t>
          </w:r>
          <w:r>
            <w:tab/>
          </w:r>
          <w:r>
            <w:fldChar w:fldCharType="begin"/>
          </w:r>
          <w:r>
            <w:instrText xml:space="preserve"> PAGEREF _Toc19099 \h </w:instrText>
          </w:r>
          <w:r>
            <w:fldChar w:fldCharType="separate"/>
          </w:r>
          <w:r>
            <w:t>124</w:t>
          </w:r>
          <w:r>
            <w:fldChar w:fldCharType="end"/>
          </w:r>
          <w:r>
            <w:fldChar w:fldCharType="end"/>
          </w:r>
        </w:p>
        <w:p w14:paraId="2774D4C6">
          <w:pPr>
            <w:pStyle w:val="12"/>
            <w:tabs>
              <w:tab w:val="right" w:leader="dot" w:pos="9026"/>
            </w:tabs>
          </w:pPr>
          <w:r>
            <w:fldChar w:fldCharType="begin"/>
          </w:r>
          <w:r>
            <w:instrText xml:space="preserve"> HYPERLINK \l _Toc1603 </w:instrText>
          </w:r>
          <w:r>
            <w:fldChar w:fldCharType="separate"/>
          </w:r>
          <w:r>
            <w:rPr>
              <w:rFonts w:ascii="黑体" w:hAnsi="黑体" w:eastAsia="黑体" w:cs="黑体"/>
              <w:bCs/>
              <w:szCs w:val="28"/>
            </w:rPr>
            <w:t>E.2 教学目标</w:t>
          </w:r>
          <w:r>
            <w:tab/>
          </w:r>
          <w:r>
            <w:fldChar w:fldCharType="begin"/>
          </w:r>
          <w:r>
            <w:instrText xml:space="preserve"> PAGEREF _Toc1603 \h </w:instrText>
          </w:r>
          <w:r>
            <w:fldChar w:fldCharType="separate"/>
          </w:r>
          <w:r>
            <w:t>124</w:t>
          </w:r>
          <w:r>
            <w:fldChar w:fldCharType="end"/>
          </w:r>
          <w:r>
            <w:fldChar w:fldCharType="end"/>
          </w:r>
        </w:p>
        <w:p w14:paraId="634C8E82">
          <w:pPr>
            <w:pStyle w:val="12"/>
            <w:tabs>
              <w:tab w:val="right" w:leader="dot" w:pos="9026"/>
            </w:tabs>
          </w:pPr>
          <w:r>
            <w:fldChar w:fldCharType="begin"/>
          </w:r>
          <w:r>
            <w:instrText xml:space="preserve"> HYPERLINK \l _Toc28707 </w:instrText>
          </w:r>
          <w:r>
            <w:fldChar w:fldCharType="separate"/>
          </w:r>
          <w:r>
            <w:rPr>
              <w:rFonts w:ascii="黑体" w:hAnsi="黑体" w:eastAsia="黑体" w:cs="黑体"/>
              <w:bCs/>
              <w:szCs w:val="28"/>
            </w:rPr>
            <w:t>E.3 教学内容与学时分配</w:t>
          </w:r>
          <w:r>
            <w:tab/>
          </w:r>
          <w:r>
            <w:fldChar w:fldCharType="begin"/>
          </w:r>
          <w:r>
            <w:instrText xml:space="preserve"> PAGEREF _Toc28707 \h </w:instrText>
          </w:r>
          <w:r>
            <w:fldChar w:fldCharType="separate"/>
          </w:r>
          <w:r>
            <w:t>125</w:t>
          </w:r>
          <w:r>
            <w:fldChar w:fldCharType="end"/>
          </w:r>
          <w:r>
            <w:fldChar w:fldCharType="end"/>
          </w:r>
        </w:p>
        <w:p w14:paraId="75DCDDB6">
          <w:pPr>
            <w:pStyle w:val="8"/>
            <w:tabs>
              <w:tab w:val="right" w:leader="dot" w:pos="9026"/>
            </w:tabs>
          </w:pPr>
          <w:r>
            <w:fldChar w:fldCharType="begin"/>
          </w:r>
          <w:r>
            <w:instrText xml:space="preserve"> HYPERLINK \l _Toc28073 </w:instrText>
          </w:r>
          <w:r>
            <w:fldChar w:fldCharType="separate"/>
          </w:r>
          <w:r>
            <w:rPr>
              <w:rFonts w:ascii="黑体" w:hAnsi="黑体" w:eastAsia="黑体" w:cs="黑体"/>
              <w:bCs/>
              <w:szCs w:val="26"/>
            </w:rPr>
            <w:t>第一篇：文化认知篇（12学时）</w:t>
          </w:r>
          <w:r>
            <w:tab/>
          </w:r>
          <w:r>
            <w:fldChar w:fldCharType="begin"/>
          </w:r>
          <w:r>
            <w:instrText xml:space="preserve"> PAGEREF _Toc28073 \h </w:instrText>
          </w:r>
          <w:r>
            <w:fldChar w:fldCharType="separate"/>
          </w:r>
          <w:r>
            <w:t>125</w:t>
          </w:r>
          <w:r>
            <w:fldChar w:fldCharType="end"/>
          </w:r>
          <w:r>
            <w:fldChar w:fldCharType="end"/>
          </w:r>
        </w:p>
        <w:p w14:paraId="65A60B49">
          <w:pPr>
            <w:pStyle w:val="8"/>
            <w:tabs>
              <w:tab w:val="right" w:leader="dot" w:pos="9026"/>
            </w:tabs>
          </w:pPr>
          <w:r>
            <w:fldChar w:fldCharType="begin"/>
          </w:r>
          <w:r>
            <w:instrText xml:space="preserve"> HYPERLINK \l _Toc20119 </w:instrText>
          </w:r>
          <w:r>
            <w:fldChar w:fldCharType="separate"/>
          </w:r>
          <w:r>
            <w:rPr>
              <w:rFonts w:ascii="黑体" w:hAnsi="黑体" w:eastAsia="黑体" w:cs="黑体"/>
              <w:bCs/>
              <w:szCs w:val="26"/>
            </w:rPr>
            <w:t>第二篇：数字化保护篇（14学时）</w:t>
          </w:r>
          <w:r>
            <w:tab/>
          </w:r>
          <w:r>
            <w:fldChar w:fldCharType="begin"/>
          </w:r>
          <w:r>
            <w:instrText xml:space="preserve"> PAGEREF _Toc20119 \h </w:instrText>
          </w:r>
          <w:r>
            <w:fldChar w:fldCharType="separate"/>
          </w:r>
          <w:r>
            <w:t>125</w:t>
          </w:r>
          <w:r>
            <w:fldChar w:fldCharType="end"/>
          </w:r>
          <w:r>
            <w:fldChar w:fldCharType="end"/>
          </w:r>
        </w:p>
        <w:p w14:paraId="5BFD8ADA">
          <w:pPr>
            <w:pStyle w:val="8"/>
            <w:tabs>
              <w:tab w:val="right" w:leader="dot" w:pos="9026"/>
            </w:tabs>
          </w:pPr>
          <w:r>
            <w:fldChar w:fldCharType="begin"/>
          </w:r>
          <w:r>
            <w:instrText xml:space="preserve"> HYPERLINK \l _Toc16002 </w:instrText>
          </w:r>
          <w:r>
            <w:fldChar w:fldCharType="separate"/>
          </w:r>
          <w:r>
            <w:rPr>
              <w:rFonts w:ascii="黑体" w:hAnsi="黑体" w:eastAsia="黑体" w:cs="黑体"/>
              <w:bCs/>
              <w:szCs w:val="26"/>
            </w:rPr>
            <w:t>第三篇：旅游活化篇（12学时）</w:t>
          </w:r>
          <w:r>
            <w:tab/>
          </w:r>
          <w:r>
            <w:fldChar w:fldCharType="begin"/>
          </w:r>
          <w:r>
            <w:instrText xml:space="preserve"> PAGEREF _Toc16002 \h </w:instrText>
          </w:r>
          <w:r>
            <w:fldChar w:fldCharType="separate"/>
          </w:r>
          <w:r>
            <w:t>125</w:t>
          </w:r>
          <w:r>
            <w:fldChar w:fldCharType="end"/>
          </w:r>
          <w:r>
            <w:fldChar w:fldCharType="end"/>
          </w:r>
        </w:p>
        <w:p w14:paraId="464CD4B3">
          <w:pPr>
            <w:pStyle w:val="8"/>
            <w:tabs>
              <w:tab w:val="right" w:leader="dot" w:pos="9026"/>
            </w:tabs>
          </w:pPr>
          <w:r>
            <w:fldChar w:fldCharType="begin"/>
          </w:r>
          <w:r>
            <w:instrText xml:space="preserve"> HYPERLINK \l _Toc6414 </w:instrText>
          </w:r>
          <w:r>
            <w:fldChar w:fldCharType="separate"/>
          </w:r>
          <w:r>
            <w:rPr>
              <w:rFonts w:ascii="黑体" w:hAnsi="黑体" w:eastAsia="黑体" w:cs="黑体"/>
              <w:bCs/>
              <w:szCs w:val="26"/>
            </w:rPr>
            <w:t>第四篇：实践与治理篇（10学时）</w:t>
          </w:r>
          <w:r>
            <w:tab/>
          </w:r>
          <w:r>
            <w:fldChar w:fldCharType="begin"/>
          </w:r>
          <w:r>
            <w:instrText xml:space="preserve"> PAGEREF _Toc6414 \h </w:instrText>
          </w:r>
          <w:r>
            <w:fldChar w:fldCharType="separate"/>
          </w:r>
          <w:r>
            <w:t>125</w:t>
          </w:r>
          <w:r>
            <w:fldChar w:fldCharType="end"/>
          </w:r>
          <w:r>
            <w:fldChar w:fldCharType="end"/>
          </w:r>
        </w:p>
        <w:p w14:paraId="7A30BD74">
          <w:pPr>
            <w:pStyle w:val="12"/>
            <w:tabs>
              <w:tab w:val="right" w:leader="dot" w:pos="9026"/>
            </w:tabs>
          </w:pPr>
          <w:r>
            <w:fldChar w:fldCharType="begin"/>
          </w:r>
          <w:r>
            <w:instrText xml:space="preserve"> HYPERLINK \l _Toc9007 </w:instrText>
          </w:r>
          <w:r>
            <w:fldChar w:fldCharType="separate"/>
          </w:r>
          <w:r>
            <w:rPr>
              <w:rFonts w:ascii="黑体" w:hAnsi="黑体" w:eastAsia="黑体" w:cs="黑体"/>
              <w:bCs/>
              <w:szCs w:val="28"/>
            </w:rPr>
            <w:t>E.4 实验教学安排（16学时）</w:t>
          </w:r>
          <w:r>
            <w:tab/>
          </w:r>
          <w:r>
            <w:fldChar w:fldCharType="begin"/>
          </w:r>
          <w:r>
            <w:instrText xml:space="preserve"> PAGEREF _Toc9007 \h </w:instrText>
          </w:r>
          <w:r>
            <w:fldChar w:fldCharType="separate"/>
          </w:r>
          <w:r>
            <w:t>126</w:t>
          </w:r>
          <w:r>
            <w:fldChar w:fldCharType="end"/>
          </w:r>
          <w:r>
            <w:fldChar w:fldCharType="end"/>
          </w:r>
        </w:p>
        <w:p w14:paraId="29170B3E">
          <w:pPr>
            <w:pStyle w:val="12"/>
            <w:tabs>
              <w:tab w:val="right" w:leader="dot" w:pos="9026"/>
            </w:tabs>
          </w:pPr>
          <w:r>
            <w:fldChar w:fldCharType="begin"/>
          </w:r>
          <w:r>
            <w:instrText xml:space="preserve"> HYPERLINK \l _Toc11629 </w:instrText>
          </w:r>
          <w:r>
            <w:fldChar w:fldCharType="separate"/>
          </w:r>
          <w:r>
            <w:rPr>
              <w:rFonts w:ascii="黑体" w:hAnsi="黑体" w:eastAsia="黑体" w:cs="黑体"/>
              <w:bCs/>
              <w:szCs w:val="28"/>
            </w:rPr>
            <w:t>E.5 考核方式</w:t>
          </w:r>
          <w:r>
            <w:tab/>
          </w:r>
          <w:r>
            <w:fldChar w:fldCharType="begin"/>
          </w:r>
          <w:r>
            <w:instrText xml:space="preserve"> PAGEREF _Toc11629 \h </w:instrText>
          </w:r>
          <w:r>
            <w:fldChar w:fldCharType="separate"/>
          </w:r>
          <w:r>
            <w:t>126</w:t>
          </w:r>
          <w:r>
            <w:fldChar w:fldCharType="end"/>
          </w:r>
          <w:r>
            <w:fldChar w:fldCharType="end"/>
          </w:r>
        </w:p>
        <w:p w14:paraId="5111AFB8">
          <w:pPr>
            <w:pStyle w:val="12"/>
            <w:tabs>
              <w:tab w:val="right" w:leader="dot" w:pos="9026"/>
            </w:tabs>
          </w:pPr>
          <w:r>
            <w:fldChar w:fldCharType="begin"/>
          </w:r>
          <w:r>
            <w:instrText xml:space="preserve"> HYPERLINK \l _Toc29438 </w:instrText>
          </w:r>
          <w:r>
            <w:fldChar w:fldCharType="separate"/>
          </w:r>
          <w:r>
            <w:rPr>
              <w:rFonts w:ascii="黑体" w:hAnsi="黑体" w:eastAsia="黑体" w:cs="黑体"/>
              <w:bCs/>
              <w:szCs w:val="28"/>
            </w:rPr>
            <w:t>E.6 推荐教材与参考资料</w:t>
          </w:r>
          <w:r>
            <w:tab/>
          </w:r>
          <w:r>
            <w:fldChar w:fldCharType="begin"/>
          </w:r>
          <w:r>
            <w:instrText xml:space="preserve"> PAGEREF _Toc29438 \h </w:instrText>
          </w:r>
          <w:r>
            <w:fldChar w:fldCharType="separate"/>
          </w:r>
          <w:r>
            <w:t>126</w:t>
          </w:r>
          <w:r>
            <w:fldChar w:fldCharType="end"/>
          </w:r>
          <w:r>
            <w:fldChar w:fldCharType="end"/>
          </w:r>
        </w:p>
        <w:p w14:paraId="565FEDF2">
          <w:pPr>
            <w:pStyle w:val="10"/>
            <w:tabs>
              <w:tab w:val="right" w:leader="dot" w:pos="9026"/>
            </w:tabs>
          </w:pPr>
          <w:r>
            <w:fldChar w:fldCharType="begin"/>
          </w:r>
          <w:r>
            <w:instrText xml:space="preserve"> HYPERLINK \l _Toc6876 </w:instrText>
          </w:r>
          <w:r>
            <w:fldChar w:fldCharType="separate"/>
          </w:r>
          <w:r>
            <w:rPr>
              <w:rFonts w:ascii="黑体" w:hAnsi="黑体" w:eastAsia="黑体" w:cs="黑体"/>
              <w:bCs/>
              <w:szCs w:val="32"/>
            </w:rPr>
            <w:t>附录F 屯堡文化数字化实训项目</w:t>
          </w:r>
          <w:r>
            <w:tab/>
          </w:r>
          <w:r>
            <w:fldChar w:fldCharType="begin"/>
          </w:r>
          <w:r>
            <w:instrText xml:space="preserve"> PAGEREF _Toc6876 \h </w:instrText>
          </w:r>
          <w:r>
            <w:fldChar w:fldCharType="separate"/>
          </w:r>
          <w:r>
            <w:t>128</w:t>
          </w:r>
          <w:r>
            <w:fldChar w:fldCharType="end"/>
          </w:r>
          <w:r>
            <w:fldChar w:fldCharType="end"/>
          </w:r>
        </w:p>
        <w:p w14:paraId="73F3D29D">
          <w:pPr>
            <w:pStyle w:val="12"/>
            <w:tabs>
              <w:tab w:val="right" w:leader="dot" w:pos="9026"/>
            </w:tabs>
          </w:pPr>
          <w:r>
            <w:fldChar w:fldCharType="begin"/>
          </w:r>
          <w:r>
            <w:instrText xml:space="preserve"> HYPERLINK \l _Toc2369 </w:instrText>
          </w:r>
          <w:r>
            <w:fldChar w:fldCharType="separate"/>
          </w:r>
          <w:r>
            <w:rPr>
              <w:rFonts w:ascii="黑体" w:hAnsi="黑体" w:eastAsia="黑体" w:cs="黑体"/>
              <w:bCs/>
              <w:szCs w:val="28"/>
            </w:rPr>
            <w:t>F.1 项目总体说明</w:t>
          </w:r>
          <w:r>
            <w:tab/>
          </w:r>
          <w:r>
            <w:fldChar w:fldCharType="begin"/>
          </w:r>
          <w:r>
            <w:instrText xml:space="preserve"> PAGEREF _Toc2369 \h </w:instrText>
          </w:r>
          <w:r>
            <w:fldChar w:fldCharType="separate"/>
          </w:r>
          <w:r>
            <w:t>128</w:t>
          </w:r>
          <w:r>
            <w:fldChar w:fldCharType="end"/>
          </w:r>
          <w:r>
            <w:fldChar w:fldCharType="end"/>
          </w:r>
        </w:p>
        <w:p w14:paraId="44265CB7">
          <w:pPr>
            <w:pStyle w:val="12"/>
            <w:tabs>
              <w:tab w:val="right" w:leader="dot" w:pos="9026"/>
            </w:tabs>
          </w:pPr>
          <w:r>
            <w:fldChar w:fldCharType="begin"/>
          </w:r>
          <w:r>
            <w:instrText xml:space="preserve"> HYPERLINK \l _Toc23811 </w:instrText>
          </w:r>
          <w:r>
            <w:fldChar w:fldCharType="separate"/>
          </w:r>
          <w:r>
            <w:rPr>
              <w:rFonts w:ascii="黑体" w:hAnsi="黑体" w:eastAsia="黑体" w:cs="黑体"/>
              <w:bCs/>
              <w:szCs w:val="28"/>
            </w:rPr>
            <w:t>F.2 实训项目列表</w:t>
          </w:r>
          <w:r>
            <w:tab/>
          </w:r>
          <w:r>
            <w:fldChar w:fldCharType="begin"/>
          </w:r>
          <w:r>
            <w:instrText xml:space="preserve"> PAGEREF _Toc23811 \h </w:instrText>
          </w:r>
          <w:r>
            <w:fldChar w:fldCharType="separate"/>
          </w:r>
          <w:r>
            <w:t>128</w:t>
          </w:r>
          <w:r>
            <w:fldChar w:fldCharType="end"/>
          </w:r>
          <w:r>
            <w:fldChar w:fldCharType="end"/>
          </w:r>
        </w:p>
        <w:p w14:paraId="25FEA8D7">
          <w:pPr>
            <w:pStyle w:val="8"/>
            <w:tabs>
              <w:tab w:val="right" w:leader="dot" w:pos="9026"/>
            </w:tabs>
          </w:pPr>
          <w:r>
            <w:fldChar w:fldCharType="begin"/>
          </w:r>
          <w:r>
            <w:instrText xml:space="preserve"> HYPERLINK \l _Toc21016 </w:instrText>
          </w:r>
          <w:r>
            <w:fldChar w:fldCharType="separate"/>
          </w:r>
          <w:r>
            <w:rPr>
              <w:rFonts w:ascii="黑体" w:hAnsi="黑体" w:eastAsia="黑体" w:cs="黑体"/>
              <w:bCs/>
              <w:szCs w:val="26"/>
            </w:rPr>
            <w:t>项目一：屯堡村寨无人机航拍与正射影像制作</w:t>
          </w:r>
          <w:r>
            <w:tab/>
          </w:r>
          <w:r>
            <w:fldChar w:fldCharType="begin"/>
          </w:r>
          <w:r>
            <w:instrText xml:space="preserve"> PAGEREF _Toc21016 \h </w:instrText>
          </w:r>
          <w:r>
            <w:fldChar w:fldCharType="separate"/>
          </w:r>
          <w:r>
            <w:t>128</w:t>
          </w:r>
          <w:r>
            <w:fldChar w:fldCharType="end"/>
          </w:r>
          <w:r>
            <w:fldChar w:fldCharType="end"/>
          </w:r>
        </w:p>
        <w:p w14:paraId="4258DBD5">
          <w:pPr>
            <w:pStyle w:val="8"/>
            <w:tabs>
              <w:tab w:val="right" w:leader="dot" w:pos="9026"/>
            </w:tabs>
          </w:pPr>
          <w:r>
            <w:fldChar w:fldCharType="begin"/>
          </w:r>
          <w:r>
            <w:instrText xml:space="preserve"> HYPERLINK \l _Toc31288 </w:instrText>
          </w:r>
          <w:r>
            <w:fldChar w:fldCharType="separate"/>
          </w:r>
          <w:r>
            <w:rPr>
              <w:rFonts w:ascii="黑体" w:hAnsi="黑体" w:eastAsia="黑体" w:cs="黑体"/>
              <w:bCs/>
              <w:szCs w:val="26"/>
            </w:rPr>
            <w:t>项目二：屯堡建筑三维摄影测量建模</w:t>
          </w:r>
          <w:r>
            <w:tab/>
          </w:r>
          <w:r>
            <w:fldChar w:fldCharType="begin"/>
          </w:r>
          <w:r>
            <w:instrText xml:space="preserve"> PAGEREF _Toc31288 \h </w:instrText>
          </w:r>
          <w:r>
            <w:fldChar w:fldCharType="separate"/>
          </w:r>
          <w:r>
            <w:t>129</w:t>
          </w:r>
          <w:r>
            <w:fldChar w:fldCharType="end"/>
          </w:r>
          <w:r>
            <w:fldChar w:fldCharType="end"/>
          </w:r>
        </w:p>
        <w:p w14:paraId="69648CB8">
          <w:pPr>
            <w:pStyle w:val="8"/>
            <w:tabs>
              <w:tab w:val="right" w:leader="dot" w:pos="9026"/>
            </w:tabs>
          </w:pPr>
          <w:r>
            <w:fldChar w:fldCharType="begin"/>
          </w:r>
          <w:r>
            <w:instrText xml:space="preserve"> HYPERLINK \l _Toc8814 </w:instrText>
          </w:r>
          <w:r>
            <w:fldChar w:fldCharType="separate"/>
          </w:r>
          <w:r>
            <w:rPr>
              <w:rFonts w:ascii="黑体" w:hAnsi="黑体" w:eastAsia="黑体" w:cs="黑体"/>
              <w:bCs/>
              <w:szCs w:val="26"/>
            </w:rPr>
            <w:t>项目三：屯堡文化知识图谱构建</w:t>
          </w:r>
          <w:r>
            <w:tab/>
          </w:r>
          <w:r>
            <w:fldChar w:fldCharType="begin"/>
          </w:r>
          <w:r>
            <w:instrText xml:space="preserve"> PAGEREF _Toc8814 \h </w:instrText>
          </w:r>
          <w:r>
            <w:fldChar w:fldCharType="separate"/>
          </w:r>
          <w:r>
            <w:t>130</w:t>
          </w:r>
          <w:r>
            <w:fldChar w:fldCharType="end"/>
          </w:r>
          <w:r>
            <w:fldChar w:fldCharType="end"/>
          </w:r>
        </w:p>
        <w:p w14:paraId="6D7042A3">
          <w:pPr>
            <w:pStyle w:val="8"/>
            <w:tabs>
              <w:tab w:val="right" w:leader="dot" w:pos="9026"/>
            </w:tabs>
          </w:pPr>
          <w:r>
            <w:fldChar w:fldCharType="begin"/>
          </w:r>
          <w:r>
            <w:instrText xml:space="preserve"> HYPERLINK \l _Toc25595 </w:instrText>
          </w:r>
          <w:r>
            <w:fldChar w:fldCharType="separate"/>
          </w:r>
          <w:r>
            <w:rPr>
              <w:rFonts w:ascii="黑体" w:hAnsi="黑体" w:eastAsia="黑体" w:cs="黑体"/>
              <w:bCs/>
              <w:szCs w:val="26"/>
            </w:rPr>
            <w:t>项目四：地戏表演数字化记录</w:t>
          </w:r>
          <w:r>
            <w:tab/>
          </w:r>
          <w:r>
            <w:fldChar w:fldCharType="begin"/>
          </w:r>
          <w:r>
            <w:instrText xml:space="preserve"> PAGEREF _Toc25595 \h </w:instrText>
          </w:r>
          <w:r>
            <w:fldChar w:fldCharType="separate"/>
          </w:r>
          <w:r>
            <w:t>130</w:t>
          </w:r>
          <w:r>
            <w:fldChar w:fldCharType="end"/>
          </w:r>
          <w:r>
            <w:fldChar w:fldCharType="end"/>
          </w:r>
        </w:p>
        <w:p w14:paraId="64212DC1">
          <w:pPr>
            <w:pStyle w:val="8"/>
            <w:tabs>
              <w:tab w:val="right" w:leader="dot" w:pos="9026"/>
            </w:tabs>
          </w:pPr>
          <w:r>
            <w:fldChar w:fldCharType="begin"/>
          </w:r>
          <w:r>
            <w:instrText xml:space="preserve"> HYPERLINK \l _Toc23802 </w:instrText>
          </w:r>
          <w:r>
            <w:fldChar w:fldCharType="separate"/>
          </w:r>
          <w:r>
            <w:rPr>
              <w:rFonts w:ascii="黑体" w:hAnsi="黑体" w:eastAsia="黑体" w:cs="黑体"/>
              <w:bCs/>
              <w:szCs w:val="26"/>
            </w:rPr>
            <w:t>项目五：屯堡文化AR导览原型设计</w:t>
          </w:r>
          <w:r>
            <w:tab/>
          </w:r>
          <w:r>
            <w:fldChar w:fldCharType="begin"/>
          </w:r>
          <w:r>
            <w:instrText xml:space="preserve"> PAGEREF _Toc23802 \h </w:instrText>
          </w:r>
          <w:r>
            <w:fldChar w:fldCharType="separate"/>
          </w:r>
          <w:r>
            <w:t>131</w:t>
          </w:r>
          <w:r>
            <w:fldChar w:fldCharType="end"/>
          </w:r>
          <w:r>
            <w:fldChar w:fldCharType="end"/>
          </w:r>
        </w:p>
        <w:p w14:paraId="12691E76">
          <w:pPr>
            <w:pStyle w:val="8"/>
            <w:tabs>
              <w:tab w:val="right" w:leader="dot" w:pos="9026"/>
            </w:tabs>
          </w:pPr>
          <w:r>
            <w:fldChar w:fldCharType="begin"/>
          </w:r>
          <w:r>
            <w:instrText xml:space="preserve"> HYPERLINK \l _Toc13429 </w:instrText>
          </w:r>
          <w:r>
            <w:fldChar w:fldCharType="separate"/>
          </w:r>
          <w:r>
            <w:rPr>
              <w:rFonts w:ascii="黑体" w:hAnsi="黑体" w:eastAsia="黑体" w:cs="黑体"/>
              <w:bCs/>
              <w:szCs w:val="26"/>
            </w:rPr>
            <w:t>项目六：屯堡文创产品设计与制作</w:t>
          </w:r>
          <w:r>
            <w:tab/>
          </w:r>
          <w:r>
            <w:fldChar w:fldCharType="begin"/>
          </w:r>
          <w:r>
            <w:instrText xml:space="preserve"> PAGEREF _Toc13429 \h </w:instrText>
          </w:r>
          <w:r>
            <w:fldChar w:fldCharType="separate"/>
          </w:r>
          <w:r>
            <w:t>132</w:t>
          </w:r>
          <w:r>
            <w:fldChar w:fldCharType="end"/>
          </w:r>
          <w:r>
            <w:fldChar w:fldCharType="end"/>
          </w:r>
        </w:p>
        <w:p w14:paraId="2DD8143B">
          <w:pPr>
            <w:pStyle w:val="8"/>
            <w:tabs>
              <w:tab w:val="right" w:leader="dot" w:pos="9026"/>
            </w:tabs>
          </w:pPr>
          <w:r>
            <w:fldChar w:fldCharType="begin"/>
          </w:r>
          <w:r>
            <w:instrText xml:space="preserve"> HYPERLINK \l _Toc13390 </w:instrText>
          </w:r>
          <w:r>
            <w:fldChar w:fldCharType="separate"/>
          </w:r>
          <w:r>
            <w:rPr>
              <w:rFonts w:ascii="黑体" w:hAnsi="黑体" w:eastAsia="黑体" w:cs="黑体"/>
              <w:bCs/>
              <w:szCs w:val="26"/>
            </w:rPr>
            <w:t>项目七：屯堡文化旅游活化方案策划</w:t>
          </w:r>
          <w:r>
            <w:tab/>
          </w:r>
          <w:r>
            <w:fldChar w:fldCharType="begin"/>
          </w:r>
          <w:r>
            <w:instrText xml:space="preserve"> PAGEREF _Toc13390 \h </w:instrText>
          </w:r>
          <w:r>
            <w:fldChar w:fldCharType="separate"/>
          </w:r>
          <w:r>
            <w:t>133</w:t>
          </w:r>
          <w:r>
            <w:fldChar w:fldCharType="end"/>
          </w:r>
          <w:r>
            <w:fldChar w:fldCharType="end"/>
          </w:r>
        </w:p>
        <w:p w14:paraId="73841369">
          <w:pPr>
            <w:pStyle w:val="8"/>
            <w:tabs>
              <w:tab w:val="right" w:leader="dot" w:pos="9026"/>
            </w:tabs>
          </w:pPr>
          <w:r>
            <w:fldChar w:fldCharType="begin"/>
          </w:r>
          <w:r>
            <w:instrText xml:space="preserve"> HYPERLINK \l _Toc30936 </w:instrText>
          </w:r>
          <w:r>
            <w:fldChar w:fldCharType="separate"/>
          </w:r>
          <w:r>
            <w:rPr>
              <w:rFonts w:ascii="黑体" w:hAnsi="黑体" w:eastAsia="黑体" w:cs="黑体"/>
              <w:bCs/>
              <w:szCs w:val="26"/>
            </w:rPr>
            <w:t>项目八：屯堡文化数字孪生综合实训</w:t>
          </w:r>
          <w:r>
            <w:tab/>
          </w:r>
          <w:r>
            <w:fldChar w:fldCharType="begin"/>
          </w:r>
          <w:r>
            <w:instrText xml:space="preserve"> PAGEREF _Toc30936 \h </w:instrText>
          </w:r>
          <w:r>
            <w:fldChar w:fldCharType="separate"/>
          </w:r>
          <w:r>
            <w:t>134</w:t>
          </w:r>
          <w:r>
            <w:fldChar w:fldCharType="end"/>
          </w:r>
          <w:r>
            <w:fldChar w:fldCharType="end"/>
          </w:r>
        </w:p>
        <w:p w14:paraId="1777267F">
          <w:pPr>
            <w:pStyle w:val="12"/>
            <w:tabs>
              <w:tab w:val="right" w:leader="dot" w:pos="9026"/>
            </w:tabs>
          </w:pPr>
          <w:r>
            <w:fldChar w:fldCharType="begin"/>
          </w:r>
          <w:r>
            <w:instrText xml:space="preserve"> HYPERLINK \l _Toc6699 </w:instrText>
          </w:r>
          <w:r>
            <w:fldChar w:fldCharType="separate"/>
          </w:r>
          <w:r>
            <w:rPr>
              <w:rFonts w:ascii="黑体" w:hAnsi="黑体" w:eastAsia="黑体" w:cs="黑体"/>
              <w:bCs/>
              <w:szCs w:val="28"/>
            </w:rPr>
            <w:t>F.3 实训安全规范</w:t>
          </w:r>
          <w:r>
            <w:tab/>
          </w:r>
          <w:r>
            <w:fldChar w:fldCharType="begin"/>
          </w:r>
          <w:r>
            <w:instrText xml:space="preserve"> PAGEREF _Toc6699 \h </w:instrText>
          </w:r>
          <w:r>
            <w:fldChar w:fldCharType="separate"/>
          </w:r>
          <w:r>
            <w:t>134</w:t>
          </w:r>
          <w:r>
            <w:fldChar w:fldCharType="end"/>
          </w:r>
          <w:r>
            <w:fldChar w:fldCharType="end"/>
          </w:r>
        </w:p>
        <w:p w14:paraId="1E7F9ABB">
          <w:pPr>
            <w:pStyle w:val="10"/>
            <w:tabs>
              <w:tab w:val="right" w:leader="dot" w:pos="9026"/>
            </w:tabs>
          </w:pPr>
          <w:r>
            <w:fldChar w:fldCharType="begin"/>
          </w:r>
          <w:r>
            <w:instrText xml:space="preserve"> HYPERLINK \l _Toc30671 </w:instrText>
          </w:r>
          <w:r>
            <w:fldChar w:fldCharType="separate"/>
          </w:r>
          <w:r>
            <w:rPr>
              <w:rFonts w:ascii="黑体" w:hAnsi="黑体" w:eastAsia="黑体" w:cs="黑体"/>
              <w:bCs/>
              <w:szCs w:val="32"/>
            </w:rPr>
            <w:t>附录G 屯堡文化保护与活化大事记</w:t>
          </w:r>
          <w:r>
            <w:tab/>
          </w:r>
          <w:r>
            <w:fldChar w:fldCharType="begin"/>
          </w:r>
          <w:r>
            <w:instrText xml:space="preserve"> PAGEREF _Toc30671 \h </w:instrText>
          </w:r>
          <w:r>
            <w:fldChar w:fldCharType="separate"/>
          </w:r>
          <w:r>
            <w:t>136</w:t>
          </w:r>
          <w:r>
            <w:fldChar w:fldCharType="end"/>
          </w:r>
          <w:r>
            <w:fldChar w:fldCharType="end"/>
          </w:r>
        </w:p>
        <w:p w14:paraId="2907B489">
          <w:pPr>
            <w:pStyle w:val="12"/>
            <w:tabs>
              <w:tab w:val="right" w:leader="dot" w:pos="9026"/>
            </w:tabs>
          </w:pPr>
          <w:r>
            <w:fldChar w:fldCharType="begin"/>
          </w:r>
          <w:r>
            <w:instrText xml:space="preserve"> HYPERLINK \l _Toc11962 </w:instrText>
          </w:r>
          <w:r>
            <w:fldChar w:fldCharType="separate"/>
          </w:r>
          <w:r>
            <w:rPr>
              <w:rFonts w:ascii="黑体" w:hAnsi="黑体" w:eastAsia="黑体" w:cs="黑体"/>
              <w:bCs/>
              <w:szCs w:val="28"/>
            </w:rPr>
            <w:t>G.1 明代（1368-1644）：屯堡形成时期</w:t>
          </w:r>
          <w:r>
            <w:tab/>
          </w:r>
          <w:r>
            <w:fldChar w:fldCharType="begin"/>
          </w:r>
          <w:r>
            <w:instrText xml:space="preserve"> PAGEREF _Toc11962 \h </w:instrText>
          </w:r>
          <w:r>
            <w:fldChar w:fldCharType="separate"/>
          </w:r>
          <w:r>
            <w:t>136</w:t>
          </w:r>
          <w:r>
            <w:fldChar w:fldCharType="end"/>
          </w:r>
          <w:r>
            <w:fldChar w:fldCharType="end"/>
          </w:r>
        </w:p>
        <w:p w14:paraId="0AB4BFF1">
          <w:pPr>
            <w:pStyle w:val="12"/>
            <w:tabs>
              <w:tab w:val="right" w:leader="dot" w:pos="9026"/>
            </w:tabs>
          </w:pPr>
          <w:r>
            <w:fldChar w:fldCharType="begin"/>
          </w:r>
          <w:r>
            <w:instrText xml:space="preserve"> HYPERLINK \l _Toc7266 </w:instrText>
          </w:r>
          <w:r>
            <w:fldChar w:fldCharType="separate"/>
          </w:r>
          <w:r>
            <w:rPr>
              <w:rFonts w:ascii="黑体" w:hAnsi="黑体" w:eastAsia="黑体" w:cs="黑体"/>
              <w:bCs/>
              <w:szCs w:val="28"/>
            </w:rPr>
            <w:t>G.2 清代至民国（1644-1949）：延续与变迁</w:t>
          </w:r>
          <w:r>
            <w:tab/>
          </w:r>
          <w:r>
            <w:fldChar w:fldCharType="begin"/>
          </w:r>
          <w:r>
            <w:instrText xml:space="preserve"> PAGEREF _Toc7266 \h </w:instrText>
          </w:r>
          <w:r>
            <w:fldChar w:fldCharType="separate"/>
          </w:r>
          <w:r>
            <w:t>136</w:t>
          </w:r>
          <w:r>
            <w:fldChar w:fldCharType="end"/>
          </w:r>
          <w:r>
            <w:fldChar w:fldCharType="end"/>
          </w:r>
        </w:p>
        <w:p w14:paraId="7E77673E">
          <w:pPr>
            <w:pStyle w:val="12"/>
            <w:tabs>
              <w:tab w:val="right" w:leader="dot" w:pos="9026"/>
            </w:tabs>
          </w:pPr>
          <w:r>
            <w:fldChar w:fldCharType="begin"/>
          </w:r>
          <w:r>
            <w:instrText xml:space="preserve"> HYPERLINK \l _Toc22112 </w:instrText>
          </w:r>
          <w:r>
            <w:fldChar w:fldCharType="separate"/>
          </w:r>
          <w:r>
            <w:rPr>
              <w:rFonts w:ascii="黑体" w:hAnsi="黑体" w:eastAsia="黑体" w:cs="黑体"/>
              <w:bCs/>
              <w:szCs w:val="28"/>
            </w:rPr>
            <w:t>G.3 新中国成立至改革开放前（1949-1978）</w:t>
          </w:r>
          <w:r>
            <w:tab/>
          </w:r>
          <w:r>
            <w:fldChar w:fldCharType="begin"/>
          </w:r>
          <w:r>
            <w:instrText xml:space="preserve"> PAGEREF _Toc22112 \h </w:instrText>
          </w:r>
          <w:r>
            <w:fldChar w:fldCharType="separate"/>
          </w:r>
          <w:r>
            <w:t>136</w:t>
          </w:r>
          <w:r>
            <w:fldChar w:fldCharType="end"/>
          </w:r>
          <w:r>
            <w:fldChar w:fldCharType="end"/>
          </w:r>
        </w:p>
        <w:p w14:paraId="760C1685">
          <w:pPr>
            <w:pStyle w:val="12"/>
            <w:tabs>
              <w:tab w:val="right" w:leader="dot" w:pos="9026"/>
            </w:tabs>
          </w:pPr>
          <w:r>
            <w:fldChar w:fldCharType="begin"/>
          </w:r>
          <w:r>
            <w:instrText xml:space="preserve"> HYPERLINK \l _Toc12532 </w:instrText>
          </w:r>
          <w:r>
            <w:fldChar w:fldCharType="separate"/>
          </w:r>
          <w:r>
            <w:rPr>
              <w:rFonts w:ascii="黑体" w:hAnsi="黑体" w:eastAsia="黑体" w:cs="黑体"/>
              <w:bCs/>
              <w:szCs w:val="28"/>
            </w:rPr>
            <w:t>G.4 改革开放至世纪之交（1978-2000）</w:t>
          </w:r>
          <w:r>
            <w:tab/>
          </w:r>
          <w:r>
            <w:fldChar w:fldCharType="begin"/>
          </w:r>
          <w:r>
            <w:instrText xml:space="preserve"> PAGEREF _Toc12532 \h </w:instrText>
          </w:r>
          <w:r>
            <w:fldChar w:fldCharType="separate"/>
          </w:r>
          <w:r>
            <w:t>136</w:t>
          </w:r>
          <w:r>
            <w:fldChar w:fldCharType="end"/>
          </w:r>
          <w:r>
            <w:fldChar w:fldCharType="end"/>
          </w:r>
        </w:p>
        <w:p w14:paraId="697D2886">
          <w:pPr>
            <w:pStyle w:val="12"/>
            <w:tabs>
              <w:tab w:val="right" w:leader="dot" w:pos="9026"/>
            </w:tabs>
          </w:pPr>
          <w:r>
            <w:fldChar w:fldCharType="begin"/>
          </w:r>
          <w:r>
            <w:instrText xml:space="preserve"> HYPERLINK \l _Toc4924 </w:instrText>
          </w:r>
          <w:r>
            <w:fldChar w:fldCharType="separate"/>
          </w:r>
          <w:r>
            <w:rPr>
              <w:rFonts w:ascii="黑体" w:hAnsi="黑体" w:eastAsia="黑体" w:cs="黑体"/>
              <w:bCs/>
              <w:szCs w:val="28"/>
            </w:rPr>
            <w:t>G.5 21世纪前二十年（2001-2020）</w:t>
          </w:r>
          <w:r>
            <w:tab/>
          </w:r>
          <w:r>
            <w:fldChar w:fldCharType="begin"/>
          </w:r>
          <w:r>
            <w:instrText xml:space="preserve"> PAGEREF _Toc4924 \h </w:instrText>
          </w:r>
          <w:r>
            <w:fldChar w:fldCharType="separate"/>
          </w:r>
          <w:r>
            <w:t>137</w:t>
          </w:r>
          <w:r>
            <w:fldChar w:fldCharType="end"/>
          </w:r>
          <w:r>
            <w:fldChar w:fldCharType="end"/>
          </w:r>
        </w:p>
        <w:p w14:paraId="6F1674EF">
          <w:pPr>
            <w:pStyle w:val="12"/>
            <w:tabs>
              <w:tab w:val="right" w:leader="dot" w:pos="9026"/>
            </w:tabs>
          </w:pPr>
          <w:r>
            <w:fldChar w:fldCharType="begin"/>
          </w:r>
          <w:r>
            <w:instrText xml:space="preserve"> HYPERLINK \l _Toc13131 </w:instrText>
          </w:r>
          <w:r>
            <w:fldChar w:fldCharType="separate"/>
          </w:r>
          <w:r>
            <w:rPr>
              <w:rFonts w:ascii="黑体" w:hAnsi="黑体" w:eastAsia="黑体" w:cs="黑体"/>
              <w:bCs/>
              <w:szCs w:val="28"/>
            </w:rPr>
            <w:t>G.6 2021-2023年：战略升级</w:t>
          </w:r>
          <w:r>
            <w:tab/>
          </w:r>
          <w:r>
            <w:fldChar w:fldCharType="begin"/>
          </w:r>
          <w:r>
            <w:instrText xml:space="preserve"> PAGEREF _Toc13131 \h </w:instrText>
          </w:r>
          <w:r>
            <w:fldChar w:fldCharType="separate"/>
          </w:r>
          <w:r>
            <w:t>137</w:t>
          </w:r>
          <w:r>
            <w:fldChar w:fldCharType="end"/>
          </w:r>
          <w:r>
            <w:fldChar w:fldCharType="end"/>
          </w:r>
        </w:p>
        <w:p w14:paraId="181BC5B2">
          <w:pPr>
            <w:pStyle w:val="12"/>
            <w:tabs>
              <w:tab w:val="right" w:leader="dot" w:pos="9026"/>
            </w:tabs>
          </w:pPr>
          <w:r>
            <w:fldChar w:fldCharType="begin"/>
          </w:r>
          <w:r>
            <w:instrText xml:space="preserve"> HYPERLINK \l _Toc26518 </w:instrText>
          </w:r>
          <w:r>
            <w:fldChar w:fldCharType="separate"/>
          </w:r>
          <w:r>
            <w:rPr>
              <w:rFonts w:ascii="黑体" w:hAnsi="黑体" w:eastAsia="黑体" w:cs="黑体"/>
              <w:bCs/>
              <w:szCs w:val="28"/>
            </w:rPr>
            <w:t>G.7 2024-2026年：提质升级</w:t>
          </w:r>
          <w:r>
            <w:tab/>
          </w:r>
          <w:r>
            <w:fldChar w:fldCharType="begin"/>
          </w:r>
          <w:r>
            <w:instrText xml:space="preserve"> PAGEREF _Toc26518 \h </w:instrText>
          </w:r>
          <w:r>
            <w:fldChar w:fldCharType="separate"/>
          </w:r>
          <w:r>
            <w:t>137</w:t>
          </w:r>
          <w:r>
            <w:fldChar w:fldCharType="end"/>
          </w:r>
          <w:r>
            <w:fldChar w:fldCharType="end"/>
          </w:r>
        </w:p>
        <w:p w14:paraId="652A05F9">
          <w:pPr>
            <w:pStyle w:val="12"/>
            <w:tabs>
              <w:tab w:val="right" w:leader="dot" w:pos="9026"/>
            </w:tabs>
          </w:pPr>
          <w:r>
            <w:fldChar w:fldCharType="begin"/>
          </w:r>
          <w:r>
            <w:instrText xml:space="preserve"> HYPERLINK \l _Toc4547 </w:instrText>
          </w:r>
          <w:r>
            <w:fldChar w:fldCharType="separate"/>
          </w:r>
          <w:r>
            <w:rPr>
              <w:rFonts w:ascii="黑体" w:hAnsi="黑体" w:eastAsia="黑体" w:cs="黑体"/>
              <w:bCs/>
              <w:szCs w:val="28"/>
            </w:rPr>
            <w:t>G.8 关键数据</w:t>
          </w:r>
          <w:r>
            <w:tab/>
          </w:r>
          <w:r>
            <w:fldChar w:fldCharType="begin"/>
          </w:r>
          <w:r>
            <w:instrText xml:space="preserve"> PAGEREF _Toc4547 \h </w:instrText>
          </w:r>
          <w:r>
            <w:fldChar w:fldCharType="separate"/>
          </w:r>
          <w:r>
            <w:t>138</w:t>
          </w:r>
          <w:r>
            <w:fldChar w:fldCharType="end"/>
          </w:r>
          <w:r>
            <w:fldChar w:fldCharType="end"/>
          </w:r>
        </w:p>
        <w:p w14:paraId="0F398D1F">
          <w:pPr>
            <w:pStyle w:val="12"/>
            <w:tabs>
              <w:tab w:val="right" w:leader="dot" w:pos="9026"/>
            </w:tabs>
          </w:pPr>
          <w:r>
            <w:fldChar w:fldCharType="begin"/>
          </w:r>
          <w:r>
            <w:instrText xml:space="preserve"> HYPERLINK \l _Toc28869 </w:instrText>
          </w:r>
          <w:r>
            <w:fldChar w:fldCharType="separate"/>
          </w:r>
          <w:r>
            <w:rPr>
              <w:rFonts w:ascii="黑体" w:hAnsi="黑体" w:eastAsia="黑体" w:cs="黑体"/>
              <w:bCs/>
              <w:szCs w:val="28"/>
            </w:rPr>
            <w:t>G.9 大事记解读要点</w:t>
          </w:r>
          <w:r>
            <w:tab/>
          </w:r>
          <w:r>
            <w:fldChar w:fldCharType="begin"/>
          </w:r>
          <w:r>
            <w:instrText xml:space="preserve"> PAGEREF _Toc28869 \h </w:instrText>
          </w:r>
          <w:r>
            <w:fldChar w:fldCharType="separate"/>
          </w:r>
          <w:r>
            <w:t>138</w:t>
          </w:r>
          <w:r>
            <w:fldChar w:fldCharType="end"/>
          </w:r>
          <w:r>
            <w:fldChar w:fldCharType="end"/>
          </w:r>
        </w:p>
        <w:p w14:paraId="71DA5E82">
          <w:r>
            <w:fldChar w:fldCharType="end"/>
          </w:r>
        </w:p>
      </w:sdtContent>
    </w:sdt>
    <w:p w14:paraId="38010003"/>
    <w:p w14:paraId="5F9998A4">
      <w:r>
        <w:br w:type="page"/>
      </w:r>
    </w:p>
    <w:p w14:paraId="50C3ABE1">
      <w:pPr>
        <w:pStyle w:val="2"/>
        <w:spacing w:before="400" w:after="200"/>
      </w:pPr>
      <w:bookmarkStart w:id="1" w:name="_Toc11352"/>
      <w:r>
        <w:rPr>
          <w:rFonts w:ascii="黑体" w:hAnsi="黑体" w:eastAsia="黑体" w:cs="黑体"/>
          <w:b/>
          <w:bCs/>
          <w:color w:val="1F4E79"/>
          <w:sz w:val="32"/>
          <w:szCs w:val="32"/>
        </w:rPr>
        <w:t>第 1 章  屯堡文化概述</w:t>
      </w:r>
      <w:bookmarkEnd w:id="1"/>
    </w:p>
    <w:p w14:paraId="1212FAFA">
      <w:pPr>
        <w:pStyle w:val="3"/>
        <w:spacing w:before="300" w:after="200"/>
      </w:pPr>
      <w:bookmarkStart w:id="2" w:name="_Toc4271"/>
      <w:r>
        <w:rPr>
          <w:rFonts w:ascii="黑体" w:hAnsi="黑体" w:eastAsia="黑体" w:cs="黑体"/>
          <w:b/>
          <w:bCs/>
          <w:color w:val="000000"/>
          <w:sz w:val="28"/>
          <w:szCs w:val="28"/>
        </w:rPr>
        <w:t>学习目标</w:t>
      </w:r>
      <w:bookmarkEnd w:id="2"/>
    </w:p>
    <w:p w14:paraId="180B1DDA">
      <w:pPr>
        <w:pStyle w:val="19"/>
        <w:numPr>
          <w:ilvl w:val="0"/>
          <w:numId w:val="1"/>
        </w:numPr>
        <w:spacing w:after="60" w:line="340" w:lineRule="auto"/>
      </w:pPr>
      <w:r>
        <w:rPr>
          <w:rFonts w:ascii="宋体" w:hAnsi="宋体" w:eastAsia="宋体" w:cs="宋体"/>
          <w:sz w:val="24"/>
          <w:szCs w:val="24"/>
        </w:rPr>
        <w:t>理解屯堡文化的定义、起源与历史背景</w:t>
      </w:r>
    </w:p>
    <w:p w14:paraId="3D8C9C21">
      <w:pPr>
        <w:pStyle w:val="19"/>
        <w:numPr>
          <w:ilvl w:val="0"/>
          <w:numId w:val="1"/>
        </w:numPr>
        <w:spacing w:after="60" w:line="340" w:lineRule="auto"/>
      </w:pPr>
      <w:r>
        <w:rPr>
          <w:rFonts w:ascii="宋体" w:hAnsi="宋体" w:eastAsia="宋体" w:cs="宋体"/>
          <w:sz w:val="24"/>
          <w:szCs w:val="24"/>
        </w:rPr>
        <w:t>掌握"调北征南"与屯堡形成的历史脉络</w:t>
      </w:r>
    </w:p>
    <w:p w14:paraId="17DEEC0E">
      <w:pPr>
        <w:pStyle w:val="19"/>
        <w:numPr>
          <w:ilvl w:val="0"/>
          <w:numId w:val="1"/>
        </w:numPr>
        <w:spacing w:after="60" w:line="340" w:lineRule="auto"/>
      </w:pPr>
      <w:r>
        <w:rPr>
          <w:rFonts w:ascii="宋体" w:hAnsi="宋体" w:eastAsia="宋体" w:cs="宋体"/>
          <w:sz w:val="24"/>
          <w:szCs w:val="24"/>
        </w:rPr>
        <w:t>了解屯堡文化的地理分布与主要聚落</w:t>
      </w:r>
    </w:p>
    <w:p w14:paraId="5171F082">
      <w:pPr>
        <w:pStyle w:val="19"/>
        <w:numPr>
          <w:ilvl w:val="0"/>
          <w:numId w:val="1"/>
        </w:numPr>
        <w:spacing w:after="60" w:line="340" w:lineRule="auto"/>
      </w:pPr>
      <w:r>
        <w:rPr>
          <w:rFonts w:ascii="宋体" w:hAnsi="宋体" w:eastAsia="宋体" w:cs="宋体"/>
          <w:sz w:val="24"/>
          <w:szCs w:val="24"/>
        </w:rPr>
        <w:t>认识屯堡文化在贵州"四大文化工程"中的地位</w:t>
      </w:r>
    </w:p>
    <w:p w14:paraId="30430864">
      <w:pPr>
        <w:pStyle w:val="19"/>
        <w:numPr>
          <w:ilvl w:val="0"/>
          <w:numId w:val="1"/>
        </w:numPr>
        <w:spacing w:after="60" w:line="340" w:lineRule="auto"/>
      </w:pPr>
      <w:r>
        <w:rPr>
          <w:rFonts w:ascii="宋体" w:hAnsi="宋体" w:eastAsia="宋体" w:cs="宋体"/>
          <w:sz w:val="24"/>
          <w:szCs w:val="24"/>
        </w:rPr>
        <w:t>理解屯堡文化作为"明代活化石"的学术价值</w:t>
      </w:r>
    </w:p>
    <w:p w14:paraId="1B66E5FE">
      <w:pPr>
        <w:pStyle w:val="3"/>
        <w:spacing w:before="300" w:after="200"/>
      </w:pPr>
      <w:bookmarkStart w:id="3" w:name="_Toc12291"/>
      <w:r>
        <w:rPr>
          <w:rFonts w:ascii="黑体" w:hAnsi="黑体" w:eastAsia="黑体" w:cs="黑体"/>
          <w:b/>
          <w:bCs/>
          <w:color w:val="000000"/>
          <w:sz w:val="28"/>
          <w:szCs w:val="28"/>
        </w:rPr>
        <w:t>导入案例：六百年不变的村庄</w:t>
      </w:r>
      <w:bookmarkEnd w:id="3"/>
    </w:p>
    <w:p w14:paraId="696A1257">
      <w:pPr>
        <w:spacing w:after="120" w:line="360" w:lineRule="auto"/>
        <w:jc w:val="both"/>
      </w:pPr>
      <w:r>
        <w:rPr>
          <w:rFonts w:ascii="宋体" w:hAnsi="宋体" w:eastAsia="宋体" w:cs="宋体"/>
          <w:sz w:val="24"/>
          <w:szCs w:val="24"/>
        </w:rPr>
        <w:t>2025年春节，安顺市西秀区天龙屯堡。来自北京的游客张先生站在石头砌成的巷道上，看着身着凤阳汉装的妇女从身旁走过，恍惚间仿佛穿越回了六百年前的大明王朝。村口的演武场上，一场地戏正在上演——头戴彩色木雕面具的表演者，在铿锵的锣鼓声中演绎着《三国演义》的经典片段。张先生感叹："没想到在贵州深山里，还完整保留着明朝的文化基因。"</w:t>
      </w:r>
    </w:p>
    <w:p w14:paraId="04451735">
      <w:pPr>
        <w:spacing w:after="120" w:line="360" w:lineRule="auto"/>
        <w:jc w:val="both"/>
      </w:pPr>
      <w:r>
        <w:rPr>
          <w:rFonts w:ascii="宋体" w:hAnsi="宋体" w:eastAsia="宋体" w:cs="宋体"/>
          <w:sz w:val="24"/>
          <w:szCs w:val="24"/>
        </w:rPr>
        <w:t>这就是屯堡——一个被时光遗忘却又被时代重新发现的"明代文化飞地"。六百多年前，三十万明军奉旨"调北征南"，平定云南后驻扎黔中，从此扎根于此。他们的后代至今仍保持着明朝江淮地区的语言、服饰、建筑和习俗，形成了世界上独一无二的屯堡文化。</w:t>
      </w:r>
    </w:p>
    <w:p w14:paraId="3A5DC413">
      <w:pPr>
        <w:pStyle w:val="3"/>
        <w:spacing w:before="300" w:after="200"/>
      </w:pPr>
      <w:bookmarkStart w:id="4" w:name="_Toc1648"/>
      <w:r>
        <w:rPr>
          <w:rFonts w:ascii="黑体" w:hAnsi="黑体" w:eastAsia="黑体" w:cs="黑体"/>
          <w:b/>
          <w:bCs/>
          <w:color w:val="000000"/>
          <w:sz w:val="28"/>
          <w:szCs w:val="28"/>
        </w:rPr>
        <w:t>1.1 屯堡文化的定义与内涵</w:t>
      </w:r>
      <w:bookmarkEnd w:id="4"/>
    </w:p>
    <w:p w14:paraId="209902E2">
      <w:pPr>
        <w:pStyle w:val="4"/>
        <w:spacing w:before="300" w:after="200"/>
      </w:pPr>
      <w:bookmarkStart w:id="5" w:name="_Toc22940"/>
      <w:r>
        <w:rPr>
          <w:rFonts w:ascii="黑体" w:hAnsi="黑体" w:eastAsia="黑体" w:cs="黑体"/>
          <w:b/>
          <w:bCs/>
          <w:color w:val="000000"/>
          <w:sz w:val="26"/>
          <w:szCs w:val="26"/>
        </w:rPr>
        <w:t>1.1.1 什么是屯堡</w:t>
      </w:r>
      <w:bookmarkEnd w:id="5"/>
    </w:p>
    <w:p w14:paraId="78A847BA">
      <w:pPr>
        <w:spacing w:after="120" w:line="360" w:lineRule="auto"/>
        <w:jc w:val="both"/>
      </w:pPr>
      <w:r>
        <w:rPr>
          <w:rFonts w:ascii="宋体" w:hAnsi="宋体" w:eastAsia="宋体" w:cs="宋体"/>
          <w:sz w:val="24"/>
          <w:szCs w:val="24"/>
        </w:rPr>
        <w:t>"屯堡"二字，各有其意。"屯"即屯田驻军，"堡"即堡垒要塞。屯堡是明朝初期在西南地区推行卫所制度的产物，是军事防御与农业生产相结合的特殊聚落形态。</w:t>
      </w:r>
    </w:p>
    <w:p w14:paraId="74B07670">
      <w:pPr>
        <w:spacing w:after="120" w:line="360" w:lineRule="auto"/>
        <w:jc w:val="both"/>
      </w:pPr>
      <w:r>
        <w:rPr>
          <w:rFonts w:ascii="宋体" w:hAnsi="宋体" w:eastAsia="宋体" w:cs="宋体"/>
          <w:sz w:val="24"/>
          <w:szCs w:val="24"/>
        </w:rPr>
        <w:t>从字面意义看，屯堡首先是军事防御设施——高墙深院、碉楼哨卡、巷道纵横，构成了一套完整的防御体系。但从文化意义看，屯堡远不止于此。它是大明王朝在西南边陲植入的文化种子，是汉文化在少数民族聚居区的一块"文化飞地"，更是一个跨越六百年时光仍保持鲜活生命力的文化生态系统。</w:t>
      </w:r>
    </w:p>
    <w:p w14:paraId="2F6514E0">
      <w:pPr>
        <w:spacing w:after="120" w:line="360" w:lineRule="auto"/>
        <w:jc w:val="both"/>
      </w:pPr>
      <w:r>
        <w:rPr>
          <w:rFonts w:ascii="宋体" w:hAnsi="宋体" w:eastAsia="宋体" w:cs="宋体"/>
          <w:sz w:val="24"/>
          <w:szCs w:val="24"/>
        </w:rPr>
        <w:t>学术界对屯堡文化的定义经历了从狭义到广义的演变。狭义上，屯堡文化指明代卫所屯军及其后裔所形成的独特文化形态；广义上，屯堡文化涵盖了以安顺为中心、辐射黔中地区的屯堡聚落群所承载的物质文化遗产与非物质文化遗产的总和。</w:t>
      </w:r>
    </w:p>
    <w:p w14:paraId="7B63DEEF">
      <w:pPr>
        <w:pStyle w:val="4"/>
        <w:spacing w:before="300" w:after="200"/>
      </w:pPr>
      <w:bookmarkStart w:id="6" w:name="_Toc16812"/>
      <w:r>
        <w:rPr>
          <w:rFonts w:ascii="黑体" w:hAnsi="黑体" w:eastAsia="黑体" w:cs="黑体"/>
          <w:b/>
          <w:bCs/>
          <w:color w:val="000000"/>
          <w:sz w:val="26"/>
          <w:szCs w:val="26"/>
        </w:rPr>
        <w:t>1.1.2 屯堡文化的核心特征</w:t>
      </w:r>
      <w:bookmarkEnd w:id="6"/>
    </w:p>
    <w:p w14:paraId="23441368">
      <w:pPr>
        <w:spacing w:after="120" w:line="360" w:lineRule="auto"/>
        <w:jc w:val="both"/>
      </w:pPr>
      <w:r>
        <w:rPr>
          <w:rFonts w:ascii="宋体" w:hAnsi="宋体" w:eastAsia="宋体" w:cs="宋体"/>
          <w:sz w:val="24"/>
          <w:szCs w:val="24"/>
        </w:rPr>
        <w:t>屯堡文化之所以被称为"明代活化石"，在于它在六个维度上完整保留了明代江淮文化的特征：</w:t>
      </w:r>
    </w:p>
    <w:p w14:paraId="3530D6B1">
      <w:pPr>
        <w:spacing w:after="120" w:line="360" w:lineRule="auto"/>
        <w:jc w:val="both"/>
      </w:pPr>
      <w:r>
        <w:rPr>
          <w:rFonts w:ascii="宋体" w:hAnsi="宋体" w:eastAsia="宋体" w:cs="宋体"/>
          <w:b/>
          <w:bCs/>
          <w:sz w:val="24"/>
          <w:szCs w:val="24"/>
        </w:rPr>
        <w:t>语言的活化石——屯堡话。</w:t>
      </w:r>
      <w:r>
        <w:rPr>
          <w:rFonts w:ascii="宋体" w:hAnsi="宋体" w:eastAsia="宋体" w:cs="宋体"/>
          <w:sz w:val="24"/>
          <w:szCs w:val="24"/>
        </w:rPr>
        <w:t xml:space="preserve"> 屯堡人所说的汉语方言，语音系统中保留了大量明代官话的特点，卷舌音突出，词汇中保留了"吃酒""赶场""晓得"等古语词，被语言学家称为"明代官话的活标本"。</w:t>
      </w:r>
    </w:p>
    <w:p w14:paraId="5A9EDFBC">
      <w:pPr>
        <w:spacing w:after="120" w:line="360" w:lineRule="auto"/>
        <w:jc w:val="both"/>
      </w:pPr>
      <w:r>
        <w:rPr>
          <w:rFonts w:ascii="宋体" w:hAnsi="宋体" w:eastAsia="宋体" w:cs="宋体"/>
          <w:b/>
          <w:bCs/>
          <w:sz w:val="24"/>
          <w:szCs w:val="24"/>
        </w:rPr>
        <w:t>服饰的活化石——凤阳汉装。</w:t>
      </w:r>
      <w:r>
        <w:rPr>
          <w:rFonts w:ascii="宋体" w:hAnsi="宋体" w:eastAsia="宋体" w:cs="宋体"/>
          <w:sz w:val="24"/>
          <w:szCs w:val="24"/>
        </w:rPr>
        <w:t xml:space="preserve"> 屯堡妇女至今日常穿着源自明代安徽凤阳的传统服饰：右衽大袖长袍、青布头帕、丝头系腰、翘头绣花鞋。这套服饰在汉族主流地区早已消失，却在黔中深山里延续了六百年。</w:t>
      </w:r>
    </w:p>
    <w:p w14:paraId="493F3EFD">
      <w:pPr>
        <w:spacing w:after="120" w:line="360" w:lineRule="auto"/>
        <w:jc w:val="both"/>
      </w:pPr>
      <w:r>
        <w:rPr>
          <w:rFonts w:ascii="宋体" w:hAnsi="宋体" w:eastAsia="宋体" w:cs="宋体"/>
          <w:b/>
          <w:bCs/>
          <w:sz w:val="24"/>
          <w:szCs w:val="24"/>
        </w:rPr>
        <w:t>建筑的活化石——石头寨。</w:t>
      </w:r>
      <w:r>
        <w:rPr>
          <w:rFonts w:ascii="宋体" w:hAnsi="宋体" w:eastAsia="宋体" w:cs="宋体"/>
          <w:sz w:val="24"/>
          <w:szCs w:val="24"/>
        </w:rPr>
        <w:t xml:space="preserve"> 屯堡建筑以石木结构为主，外墙用当地片石干砌而成，内部为木构架，兼具军事防御与生活居住功能。四合院、雕花门楼、枪眼箭孔，处处透露出明代江淮民居与军事堡垒的双重基因。</w:t>
      </w:r>
    </w:p>
    <w:p w14:paraId="18AE7856">
      <w:pPr>
        <w:spacing w:after="120" w:line="360" w:lineRule="auto"/>
        <w:jc w:val="both"/>
      </w:pPr>
      <w:r>
        <w:rPr>
          <w:rFonts w:ascii="宋体" w:hAnsi="宋体" w:eastAsia="宋体" w:cs="宋体"/>
          <w:b/>
          <w:bCs/>
          <w:sz w:val="24"/>
          <w:szCs w:val="24"/>
        </w:rPr>
        <w:t>戏剧的活化石——安顺地戏。</w:t>
      </w:r>
      <w:r>
        <w:rPr>
          <w:rFonts w:ascii="宋体" w:hAnsi="宋体" w:eastAsia="宋体" w:cs="宋体"/>
          <w:sz w:val="24"/>
          <w:szCs w:val="24"/>
        </w:rPr>
        <w:t xml:space="preserve"> 地戏是屯堡人最具代表性的文化符号，以古代战争故事为题材，演员头戴木雕面具、背插战旗，在平地演出，被称为"中国戏剧的活化石"，2006年列入首批国家级非物质文化遗产。</w:t>
      </w:r>
    </w:p>
    <w:p w14:paraId="3209B0E1">
      <w:pPr>
        <w:spacing w:after="120" w:line="360" w:lineRule="auto"/>
        <w:jc w:val="both"/>
      </w:pPr>
      <w:r>
        <w:rPr>
          <w:rFonts w:ascii="宋体" w:hAnsi="宋体" w:eastAsia="宋体" w:cs="宋体"/>
          <w:b/>
          <w:bCs/>
          <w:sz w:val="24"/>
          <w:szCs w:val="24"/>
        </w:rPr>
        <w:t>信仰的活化石——汪公崇拜。</w:t>
      </w:r>
      <w:r>
        <w:rPr>
          <w:rFonts w:ascii="宋体" w:hAnsi="宋体" w:eastAsia="宋体" w:cs="宋体"/>
          <w:sz w:val="24"/>
          <w:szCs w:val="24"/>
        </w:rPr>
        <w:t xml:space="preserve"> 屯堡人尊奉唐代名将汪华为"汪公"，每年正月举行隆重的"抬汪公"仪式。这一信仰源自安徽，在江淮地区已近绝迹，却在屯堡得以完整保存。</w:t>
      </w:r>
    </w:p>
    <w:p w14:paraId="25BB628C">
      <w:pPr>
        <w:spacing w:after="120" w:line="360" w:lineRule="auto"/>
        <w:jc w:val="both"/>
      </w:pPr>
      <w:r>
        <w:rPr>
          <w:rFonts w:ascii="宋体" w:hAnsi="宋体" w:eastAsia="宋体" w:cs="宋体"/>
          <w:b/>
          <w:bCs/>
          <w:sz w:val="24"/>
          <w:szCs w:val="24"/>
        </w:rPr>
        <w:t>习俗的活化石——节庆礼仪。</w:t>
      </w:r>
      <w:r>
        <w:rPr>
          <w:rFonts w:ascii="宋体" w:hAnsi="宋体" w:eastAsia="宋体" w:cs="宋体"/>
          <w:sz w:val="24"/>
          <w:szCs w:val="24"/>
        </w:rPr>
        <w:t xml:space="preserve"> 屯堡人的婚丧嫁娶、岁时节令保留了大量明代习俗，如"跳花灯""迎春牛""祭五显"等，构成了一个完整的民俗文化体系。</w:t>
      </w:r>
    </w:p>
    <w:p w14:paraId="1CA14120">
      <w:pPr>
        <w:pStyle w:val="4"/>
        <w:spacing w:before="300" w:after="200"/>
      </w:pPr>
      <w:bookmarkStart w:id="7" w:name="_Toc30195"/>
      <w:r>
        <w:rPr>
          <w:rFonts w:ascii="黑体" w:hAnsi="黑体" w:eastAsia="黑体" w:cs="黑体"/>
          <w:b/>
          <w:bCs/>
          <w:color w:val="000000"/>
          <w:sz w:val="26"/>
          <w:szCs w:val="26"/>
        </w:rPr>
        <w:t>1.1.3 屯堡文化的学术定位</w:t>
      </w:r>
      <w:bookmarkEnd w:id="7"/>
    </w:p>
    <w:p w14:paraId="72799A97">
      <w:pPr>
        <w:spacing w:after="120" w:line="360" w:lineRule="auto"/>
        <w:jc w:val="both"/>
      </w:pPr>
      <w:r>
        <w:rPr>
          <w:rFonts w:ascii="宋体" w:hAnsi="宋体" w:eastAsia="宋体" w:cs="宋体"/>
          <w:sz w:val="24"/>
          <w:szCs w:val="24"/>
        </w:rPr>
        <w:t>在国际学术界，屯堡文化属于"文化孤岛"（Cultural Island）研究的典型案例。文化孤岛是指某一文化群体因历史原因迁入另一文化区域，并在长期隔离中保持原有文化特征的现象。与美洲的阿米什人（Amish）、东南亚的华人峇峇娘惹文化相比，屯堡文化以其规模之大、保存之完整、延续时间之长而具有独特的学术价值。</w:t>
      </w:r>
    </w:p>
    <w:p w14:paraId="4A3A967E">
      <w:pPr>
        <w:spacing w:after="120" w:line="360" w:lineRule="auto"/>
        <w:jc w:val="both"/>
      </w:pPr>
      <w:r>
        <w:rPr>
          <w:rFonts w:ascii="宋体" w:hAnsi="宋体" w:eastAsia="宋体" w:cs="宋体"/>
          <w:sz w:val="24"/>
          <w:szCs w:val="24"/>
        </w:rPr>
        <w:t>在国内学术界，屯堡文化是历史学、民族学、语言学、建筑学、民俗学、戏剧学等多学科交叉研究的富矿。自20世纪初日本学者鸟居龙藏首次关注屯堡以来，费孝通、吴晗等著名学者均对屯堡文化有过重要论述。21世纪以来，随着贵州"四大文化工程"的推进，屯堡文化研究进入了新的繁荣期。</w:t>
      </w:r>
    </w:p>
    <w:p w14:paraId="158E69F2">
      <w:pPr>
        <w:pStyle w:val="3"/>
        <w:spacing w:before="300" w:after="200"/>
      </w:pPr>
      <w:bookmarkStart w:id="8" w:name="_Toc8231"/>
      <w:r>
        <w:rPr>
          <w:rFonts w:ascii="黑体" w:hAnsi="黑体" w:eastAsia="黑体" w:cs="黑体"/>
          <w:b/>
          <w:bCs/>
          <w:color w:val="000000"/>
          <w:sz w:val="28"/>
          <w:szCs w:val="28"/>
        </w:rPr>
        <w:t>1.2 屯堡文化的历史背景</w:t>
      </w:r>
      <w:bookmarkEnd w:id="8"/>
    </w:p>
    <w:p w14:paraId="07AE2148">
      <w:pPr>
        <w:pStyle w:val="4"/>
        <w:spacing w:before="300" w:after="200"/>
      </w:pPr>
      <w:bookmarkStart w:id="9" w:name="_Toc26406"/>
      <w:r>
        <w:rPr>
          <w:rFonts w:ascii="黑体" w:hAnsi="黑体" w:eastAsia="黑体" w:cs="黑体"/>
          <w:b/>
          <w:bCs/>
          <w:color w:val="000000"/>
          <w:sz w:val="26"/>
          <w:szCs w:val="26"/>
        </w:rPr>
        <w:t>1.2.1 "调北征南"与明初西南经略</w:t>
      </w:r>
      <w:bookmarkEnd w:id="9"/>
    </w:p>
    <w:p w14:paraId="6A0B5A32">
      <w:pPr>
        <w:spacing w:after="120" w:line="360" w:lineRule="auto"/>
        <w:jc w:val="both"/>
      </w:pPr>
      <w:r>
        <w:rPr>
          <w:rFonts w:ascii="宋体" w:hAnsi="宋体" w:eastAsia="宋体" w:cs="宋体"/>
          <w:sz w:val="24"/>
          <w:szCs w:val="24"/>
        </w:rPr>
        <w:t>屯堡的起源可追溯至明洪武十四年（1381年）。这一年，朱元璋为平定盘踞云南的元朝残余势力梁王把匝剌瓦尔密，命颍川侯傅友德为征南将军，永昌侯蓝玉、西平侯沐英为副将军，率三十万大军"调北征南"。</w:t>
      </w:r>
    </w:p>
    <w:p w14:paraId="6835DBC1">
      <w:pPr>
        <w:spacing w:after="120" w:line="360" w:lineRule="auto"/>
        <w:jc w:val="both"/>
      </w:pPr>
      <w:r>
        <w:rPr>
          <w:rFonts w:ascii="宋体" w:hAnsi="宋体" w:eastAsia="宋体" w:cs="宋体"/>
          <w:sz w:val="24"/>
          <w:szCs w:val="24"/>
        </w:rPr>
        <w:t>这场军事行动历时两年。明军自湖广入贵州，克普定（今安顺）、普安，直取云南。洪武十五年（1382年），梁王兵败自杀，云南平定。然而，西南地区少数民族众多，土司势力根深蒂固，元朝残余时有反扑。为巩固西南边疆，朱元璋决定在驿道沿线和战略要地设立卫所，留兵屯守。</w:t>
      </w:r>
    </w:p>
    <w:p w14:paraId="2C313023">
      <w:pPr>
        <w:pStyle w:val="4"/>
        <w:spacing w:before="300" w:after="200"/>
      </w:pPr>
      <w:bookmarkStart w:id="10" w:name="_Toc12613"/>
      <w:r>
        <w:rPr>
          <w:rFonts w:ascii="黑体" w:hAnsi="黑体" w:eastAsia="黑体" w:cs="黑体"/>
          <w:b/>
          <w:bCs/>
          <w:color w:val="000000"/>
          <w:sz w:val="26"/>
          <w:szCs w:val="26"/>
        </w:rPr>
        <w:t>1.2.2 卫所制度与屯堡体系的建立</w:t>
      </w:r>
      <w:bookmarkEnd w:id="10"/>
    </w:p>
    <w:p w14:paraId="4267B13A">
      <w:pPr>
        <w:spacing w:after="120" w:line="360" w:lineRule="auto"/>
        <w:jc w:val="both"/>
      </w:pPr>
      <w:r>
        <w:rPr>
          <w:rFonts w:ascii="宋体" w:hAnsi="宋体" w:eastAsia="宋体" w:cs="宋体"/>
          <w:sz w:val="24"/>
          <w:szCs w:val="24"/>
        </w:rPr>
        <w:t>明代的卫所制度是屯堡形成的关键制度基础。卫所制规定：一卫统兵五千六百人，下设五个千户所，每千户所一千一百二十人，下设十个百户所。卫所官兵"三分守城，七分屯种"，战时为兵、平时为农，军饷自给。</w:t>
      </w:r>
    </w:p>
    <w:p w14:paraId="649E0527">
      <w:pPr>
        <w:spacing w:after="120" w:line="360" w:lineRule="auto"/>
        <w:jc w:val="both"/>
      </w:pPr>
      <w:r>
        <w:rPr>
          <w:rFonts w:ascii="宋体" w:hAnsi="宋体" w:eastAsia="宋体" w:cs="宋体"/>
          <w:sz w:val="24"/>
          <w:szCs w:val="24"/>
        </w:rPr>
        <w:t>洪武十五年（1382年），明朝在贵州设立贵州都指挥使司，下辖十八卫。其中，安顺一带设有普定卫（今安顺）、安庄卫（今镇宁）、平坝卫（今平坝）等。这些卫所构成了黔中屯堡群的核心骨架。据《明实录》记载，仅在安顺一带，屯军及其家属就达十余万人。</w:t>
      </w:r>
    </w:p>
    <w:p w14:paraId="122F84F6">
      <w:pPr>
        <w:pStyle w:val="4"/>
        <w:spacing w:before="300" w:after="200"/>
      </w:pPr>
      <w:bookmarkStart w:id="11" w:name="_Toc26045"/>
      <w:r>
        <w:rPr>
          <w:rFonts w:ascii="黑体" w:hAnsi="黑体" w:eastAsia="黑体" w:cs="黑体"/>
          <w:b/>
          <w:bCs/>
          <w:color w:val="000000"/>
          <w:sz w:val="26"/>
          <w:szCs w:val="26"/>
        </w:rPr>
        <w:t>1.2.3 "屯堡"之名的演变</w:t>
      </w:r>
      <w:bookmarkEnd w:id="11"/>
    </w:p>
    <w:p w14:paraId="6B21FD3A">
      <w:pPr>
        <w:spacing w:after="120" w:line="360" w:lineRule="auto"/>
        <w:jc w:val="both"/>
      </w:pPr>
      <w:r>
        <w:rPr>
          <w:rFonts w:ascii="宋体" w:hAnsi="宋体" w:eastAsia="宋体" w:cs="宋体"/>
          <w:sz w:val="24"/>
          <w:szCs w:val="24"/>
        </w:rPr>
        <w:t>"屯堡"作为地名最早见于明代的军事文书和舆图。明初称为"屯""堡""哨""铺"等，各有功能区分：屯以农耕为主，堡以防御为主，哨以瞭望为主，铺以驿传为主。随着时间推移，这些军事据点的功能逐渐融合，"屯堡"成为统称。</w:t>
      </w:r>
    </w:p>
    <w:p w14:paraId="190BC2B0">
      <w:pPr>
        <w:spacing w:after="120" w:line="360" w:lineRule="auto"/>
        <w:jc w:val="both"/>
      </w:pPr>
      <w:r>
        <w:rPr>
          <w:rFonts w:ascii="宋体" w:hAnsi="宋体" w:eastAsia="宋体" w:cs="宋体"/>
          <w:sz w:val="24"/>
          <w:szCs w:val="24"/>
        </w:rPr>
        <w:t>值得注意的是，屯堡人自称"老汉人"或"屯堡人"，以区别于清代以后迁入贵州的"客家人"（指后迁入的汉族）和当地少数民族。这种自我认同强化了屯堡群体的文化边界，也是屯堡文化得以长期保持的重要原因。</w:t>
      </w:r>
    </w:p>
    <w:p w14:paraId="711A7D0D">
      <w:pPr>
        <w:pStyle w:val="3"/>
        <w:spacing w:before="300" w:after="200"/>
      </w:pPr>
      <w:bookmarkStart w:id="12" w:name="_Toc32583"/>
      <w:r>
        <w:rPr>
          <w:rFonts w:ascii="黑体" w:hAnsi="黑体" w:eastAsia="黑体" w:cs="黑体"/>
          <w:b/>
          <w:bCs/>
          <w:color w:val="000000"/>
          <w:sz w:val="28"/>
          <w:szCs w:val="28"/>
        </w:rPr>
        <w:t>1.3 屯堡文化的地理分布</w:t>
      </w:r>
      <w:bookmarkEnd w:id="12"/>
    </w:p>
    <w:p w14:paraId="7E39D271">
      <w:pPr>
        <w:pStyle w:val="4"/>
        <w:spacing w:before="300" w:after="200"/>
      </w:pPr>
      <w:bookmarkStart w:id="13" w:name="_Toc32649"/>
      <w:r>
        <w:rPr>
          <w:rFonts w:ascii="黑体" w:hAnsi="黑体" w:eastAsia="黑体" w:cs="黑体"/>
          <w:b/>
          <w:bCs/>
          <w:color w:val="000000"/>
          <w:sz w:val="26"/>
          <w:szCs w:val="26"/>
        </w:rPr>
        <w:t>1.3.1 黔中屯堡文化圈</w:t>
      </w:r>
      <w:bookmarkEnd w:id="13"/>
    </w:p>
    <w:p w14:paraId="1E894D34">
      <w:pPr>
        <w:spacing w:after="120" w:line="360" w:lineRule="auto"/>
        <w:jc w:val="both"/>
      </w:pPr>
      <w:r>
        <w:rPr>
          <w:rFonts w:ascii="宋体" w:hAnsi="宋体" w:eastAsia="宋体" w:cs="宋体"/>
          <w:sz w:val="24"/>
          <w:szCs w:val="24"/>
        </w:rPr>
        <w:t>屯堡文化以安顺市西秀区和平坝区为核心，辐射镇宁、普定、关岭、紫云等县区，形成了总面积约3000平方公里的"黔中屯堡文化圈"。这一区域恰好位于明代由湖广入滇的"滇黔驿道"沿线，印证了屯堡"因驿而设、沿路分布"的历史规律。</w:t>
      </w:r>
    </w:p>
    <w:p w14:paraId="3D61D69E">
      <w:pPr>
        <w:pStyle w:val="4"/>
        <w:spacing w:before="300" w:after="200"/>
      </w:pPr>
      <w:bookmarkStart w:id="14" w:name="_Toc792"/>
      <w:r>
        <w:rPr>
          <w:rFonts w:ascii="黑体" w:hAnsi="黑体" w:eastAsia="黑体" w:cs="黑体"/>
          <w:b/>
          <w:bCs/>
          <w:color w:val="000000"/>
          <w:sz w:val="26"/>
          <w:szCs w:val="26"/>
        </w:rPr>
        <w:t>1.3.2 代表性屯堡村寨</w:t>
      </w:r>
      <w:bookmarkEnd w:id="14"/>
    </w:p>
    <w:p w14:paraId="75DE6E73">
      <w:pPr>
        <w:spacing w:after="120" w:line="360" w:lineRule="auto"/>
        <w:jc w:val="both"/>
      </w:pPr>
      <w:r>
        <w:rPr>
          <w:rFonts w:ascii="宋体" w:hAnsi="宋体" w:eastAsia="宋体" w:cs="宋体"/>
          <w:b/>
          <w:bCs/>
          <w:sz w:val="24"/>
          <w:szCs w:val="24"/>
        </w:rPr>
        <w:t>天龙屯堡。</w:t>
      </w:r>
      <w:r>
        <w:rPr>
          <w:rFonts w:ascii="宋体" w:hAnsi="宋体" w:eastAsia="宋体" w:cs="宋体"/>
          <w:sz w:val="24"/>
          <w:szCs w:val="24"/>
        </w:rPr>
        <w:t xml:space="preserve"> 位于安顺市平坝区天龙镇，是屯堡文化旅游开发最早的村寨之一。天龙屯堡保存了完整的石巷、碉楼、演武场和沈万三故居，被誉为"屯堡文化第一村"。村内的天龙屯堡景区是国家4A级旅游景区。</w:t>
      </w:r>
    </w:p>
    <w:p w14:paraId="3572C492">
      <w:pPr>
        <w:spacing w:after="120" w:line="360" w:lineRule="auto"/>
        <w:jc w:val="both"/>
      </w:pPr>
      <w:r>
        <w:rPr>
          <w:rFonts w:ascii="宋体" w:hAnsi="宋体" w:eastAsia="宋体" w:cs="宋体"/>
          <w:b/>
          <w:bCs/>
          <w:sz w:val="24"/>
          <w:szCs w:val="24"/>
        </w:rPr>
        <w:t>本寨。</w:t>
      </w:r>
      <w:r>
        <w:rPr>
          <w:rFonts w:ascii="宋体" w:hAnsi="宋体" w:eastAsia="宋体" w:cs="宋体"/>
          <w:sz w:val="24"/>
          <w:szCs w:val="24"/>
        </w:rPr>
        <w:t xml:space="preserve"> 位于安顺市西秀区七眼桥镇，以保存完好的屯堡民居建筑群著称。本寨的杨家老宅、王家大院等古建筑，展现了屯堡建筑的最高工艺水平。2001年，本寨被列为全国重点文物保护单位。</w:t>
      </w:r>
    </w:p>
    <w:p w14:paraId="20F521A5">
      <w:pPr>
        <w:spacing w:after="120" w:line="360" w:lineRule="auto"/>
        <w:jc w:val="both"/>
      </w:pPr>
      <w:r>
        <w:rPr>
          <w:rFonts w:ascii="宋体" w:hAnsi="宋体" w:eastAsia="宋体" w:cs="宋体"/>
          <w:b/>
          <w:bCs/>
          <w:sz w:val="24"/>
          <w:szCs w:val="24"/>
        </w:rPr>
        <w:t>云山屯。</w:t>
      </w:r>
      <w:r>
        <w:rPr>
          <w:rFonts w:ascii="宋体" w:hAnsi="宋体" w:eastAsia="宋体" w:cs="宋体"/>
          <w:sz w:val="24"/>
          <w:szCs w:val="24"/>
        </w:rPr>
        <w:t xml:space="preserve"> 位于安顺市西秀区七眼桥镇云峰山上，是屯堡村寨中地势最为险要的一个。云山屯依山而建，前有古驿道，后有云鹫寺，集军事防御、宗教信仰、商贸集散于一体，2005年被评为"中国历史文化名村"。</w:t>
      </w:r>
    </w:p>
    <w:p w14:paraId="42F6505F">
      <w:pPr>
        <w:spacing w:after="120" w:line="360" w:lineRule="auto"/>
        <w:jc w:val="both"/>
      </w:pPr>
      <w:r>
        <w:rPr>
          <w:rFonts w:ascii="宋体" w:hAnsi="宋体" w:eastAsia="宋体" w:cs="宋体"/>
          <w:b/>
          <w:bCs/>
          <w:sz w:val="24"/>
          <w:szCs w:val="24"/>
        </w:rPr>
        <w:t>鲍家屯。</w:t>
      </w:r>
      <w:r>
        <w:rPr>
          <w:rFonts w:ascii="宋体" w:hAnsi="宋体" w:eastAsia="宋体" w:cs="宋体"/>
          <w:sz w:val="24"/>
          <w:szCs w:val="24"/>
        </w:rPr>
        <w:t xml:space="preserve"> 位于安顺市西秀区大西桥镇，以独特的古水利工程闻名。鲍家屯的水利系统始建于明代，至今仍在灌溉千亩农田，被水利专家誉为"小都江堰"，2024年入选世界灌溉工程遗产中国候选名单。</w:t>
      </w:r>
    </w:p>
    <w:p w14:paraId="6B97D1BF">
      <w:pPr>
        <w:spacing w:after="120" w:line="360" w:lineRule="auto"/>
        <w:jc w:val="both"/>
      </w:pPr>
      <w:r>
        <w:rPr>
          <w:rFonts w:ascii="宋体" w:hAnsi="宋体" w:eastAsia="宋体" w:cs="宋体"/>
          <w:b/>
          <w:bCs/>
          <w:sz w:val="24"/>
          <w:szCs w:val="24"/>
        </w:rPr>
        <w:t>旧州古镇。</w:t>
      </w:r>
      <w:r>
        <w:rPr>
          <w:rFonts w:ascii="宋体" w:hAnsi="宋体" w:eastAsia="宋体" w:cs="宋体"/>
          <w:sz w:val="24"/>
          <w:szCs w:val="24"/>
        </w:rPr>
        <w:t xml:space="preserve"> 位于安顺市西秀区旧州镇，是元明时期的安顺州治所在地，也是屯堡文化与当地少数民族文化交融的典型区域。旧州的"跳花灯""苗族跳花节"等民俗活动，体现了多元文化和谐共生的独特景观。</w:t>
      </w:r>
    </w:p>
    <w:p w14:paraId="6C2AB2C2">
      <w:pPr>
        <w:pStyle w:val="4"/>
        <w:spacing w:before="300" w:after="200"/>
      </w:pPr>
      <w:bookmarkStart w:id="15" w:name="_Toc27287"/>
      <w:r>
        <w:rPr>
          <w:rFonts w:ascii="黑体" w:hAnsi="黑体" w:eastAsia="黑体" w:cs="黑体"/>
          <w:b/>
          <w:bCs/>
          <w:color w:val="000000"/>
          <w:sz w:val="26"/>
          <w:szCs w:val="26"/>
        </w:rPr>
        <w:t>1.3.3 屯堡村寨的空间格局</w:t>
      </w:r>
      <w:bookmarkEnd w:id="15"/>
    </w:p>
    <w:p w14:paraId="7D763081">
      <w:pPr>
        <w:spacing w:after="120" w:line="360" w:lineRule="auto"/>
        <w:jc w:val="both"/>
      </w:pPr>
      <w:r>
        <w:rPr>
          <w:rFonts w:ascii="宋体" w:hAnsi="宋体" w:eastAsia="宋体" w:cs="宋体"/>
          <w:sz w:val="24"/>
          <w:szCs w:val="24"/>
        </w:rPr>
        <w:t>屯堡村寨的空间格局具有鲜明的军事特征。典型的屯堡村寨通常包括以下要素：寨墙与寨门——界定村寨边界，防御外敌；主巷道——连接各功能区域，两侧为高墙，狭窄曲折，易守难攻；碉楼——村寨的制高点，用于瞭望和射击；演武场——军事训练的场所，也是地戏表演的舞台；庙宇——汪公庙、五显庙等，是社区信仰中心。</w:t>
      </w:r>
    </w:p>
    <w:p w14:paraId="19298007">
      <w:pPr>
        <w:spacing w:after="120" w:line="360" w:lineRule="auto"/>
        <w:jc w:val="both"/>
      </w:pPr>
      <w:r>
        <w:rPr>
          <w:rFonts w:ascii="宋体" w:hAnsi="宋体" w:eastAsia="宋体" w:cs="宋体"/>
          <w:sz w:val="24"/>
          <w:szCs w:val="24"/>
        </w:rPr>
        <w:t>这种空间格局不仅是军事防御的需要，更体现了明代江淮村落的规划理念，是汉文化在西南边疆的空间投射。</w:t>
      </w:r>
    </w:p>
    <w:p w14:paraId="20150AD7">
      <w:pPr>
        <w:pStyle w:val="3"/>
        <w:spacing w:before="300" w:after="200"/>
      </w:pPr>
      <w:bookmarkStart w:id="16" w:name="_Toc8193"/>
      <w:r>
        <w:rPr>
          <w:rFonts w:ascii="黑体" w:hAnsi="黑体" w:eastAsia="黑体" w:cs="黑体"/>
          <w:b/>
          <w:bCs/>
          <w:color w:val="000000"/>
          <w:sz w:val="28"/>
          <w:szCs w:val="28"/>
        </w:rPr>
        <w:t>1.4 屯堡文化的历史地位</w:t>
      </w:r>
      <w:bookmarkEnd w:id="16"/>
    </w:p>
    <w:p w14:paraId="270C736E">
      <w:pPr>
        <w:pStyle w:val="4"/>
        <w:spacing w:before="300" w:after="200"/>
      </w:pPr>
      <w:bookmarkStart w:id="17" w:name="_Toc13506"/>
      <w:r>
        <w:rPr>
          <w:rFonts w:ascii="黑体" w:hAnsi="黑体" w:eastAsia="黑体" w:cs="黑体"/>
          <w:b/>
          <w:bCs/>
          <w:color w:val="000000"/>
          <w:sz w:val="26"/>
          <w:szCs w:val="26"/>
        </w:rPr>
        <w:t>1.4.1 贵州"四大文化工程"之一</w:t>
      </w:r>
      <w:bookmarkEnd w:id="17"/>
    </w:p>
    <w:p w14:paraId="54A3EF82">
      <w:pPr>
        <w:spacing w:after="120" w:line="360" w:lineRule="auto"/>
        <w:jc w:val="both"/>
      </w:pPr>
      <w:r>
        <w:rPr>
          <w:rFonts w:ascii="宋体" w:hAnsi="宋体" w:eastAsia="宋体" w:cs="宋体"/>
          <w:sz w:val="24"/>
          <w:szCs w:val="24"/>
        </w:rPr>
        <w:t>2023年，贵州省委明确提出实施"四大文化工程"：红色文化重点建设、阳明文化转化运用、民族文化传承弘扬、屯堡文化等历史文化研究推广。屯堡文化被提升到省级文化战略的高度，与红色文化、阳明文化、民族文化并列，凸显了其重要的历史地位和当代价值。</w:t>
      </w:r>
    </w:p>
    <w:p w14:paraId="5D58557F">
      <w:pPr>
        <w:pStyle w:val="4"/>
        <w:spacing w:before="300" w:after="200"/>
      </w:pPr>
      <w:bookmarkStart w:id="18" w:name="_Toc11640"/>
      <w:r>
        <w:rPr>
          <w:rFonts w:ascii="黑体" w:hAnsi="黑体" w:eastAsia="黑体" w:cs="黑体"/>
          <w:b/>
          <w:bCs/>
          <w:color w:val="000000"/>
          <w:sz w:val="26"/>
          <w:szCs w:val="26"/>
        </w:rPr>
        <w:t>1.4.2 "明代活化石"的学术价值</w:t>
      </w:r>
      <w:bookmarkEnd w:id="18"/>
    </w:p>
    <w:p w14:paraId="3ED541B4">
      <w:pPr>
        <w:spacing w:after="120" w:line="360" w:lineRule="auto"/>
        <w:jc w:val="both"/>
      </w:pPr>
      <w:r>
        <w:rPr>
          <w:rFonts w:ascii="宋体" w:hAnsi="宋体" w:eastAsia="宋体" w:cs="宋体"/>
          <w:sz w:val="24"/>
          <w:szCs w:val="24"/>
        </w:rPr>
        <w:t>屯堡文化被称为"明代活化石"，是因为它在多个层面保留了明代中晚期汉族社会的文化原貌。对于历史学而言，屯堡是研究明代军事制度、移民史、边疆治理的活态样本；对于语言学而言，屯堡话是明代官话研究的珍贵语料；对于民俗学而言，屯堡保存了一套完整的明代民间信仰和节庆体系；对于戏剧学而言，地戏为研究中国戏剧从仪式到艺术的演变提供了关键证据。</w:t>
      </w:r>
    </w:p>
    <w:p w14:paraId="5DC84C7B">
      <w:pPr>
        <w:pStyle w:val="4"/>
        <w:spacing w:before="300" w:after="200"/>
      </w:pPr>
      <w:bookmarkStart w:id="19" w:name="_Toc23703"/>
      <w:r>
        <w:rPr>
          <w:rFonts w:ascii="黑体" w:hAnsi="黑体" w:eastAsia="黑体" w:cs="黑体"/>
          <w:b/>
          <w:bCs/>
          <w:color w:val="000000"/>
          <w:sz w:val="26"/>
          <w:szCs w:val="26"/>
        </w:rPr>
        <w:t>1.4.3 国家文物保护利用示范区</w:t>
      </w:r>
      <w:bookmarkEnd w:id="19"/>
    </w:p>
    <w:p w14:paraId="66B5E547">
      <w:pPr>
        <w:spacing w:after="120" w:line="360" w:lineRule="auto"/>
        <w:jc w:val="both"/>
      </w:pPr>
      <w:r>
        <w:rPr>
          <w:rFonts w:ascii="宋体" w:hAnsi="宋体" w:eastAsia="宋体" w:cs="宋体"/>
          <w:sz w:val="24"/>
          <w:szCs w:val="24"/>
        </w:rPr>
        <w:t>2025-2026年，安顺市积极推进"贵州安顺屯堡文化国家文物保护利用示范区"创建工作。这一示范区旨在探索文化遗产"固态保护"与"活态传承"相结合的新模式，为全国同类文化遗产保护提供"安顺方案"。示范区的创建涉及天龙屯堡、本寨、云山屯、鲍家屯等多个核心村寨，涵盖文物保护、非遗传承、数字化建设、旅游开发等多个维度。</w:t>
      </w:r>
    </w:p>
    <w:p w14:paraId="32C1AE01">
      <w:pPr>
        <w:pStyle w:val="3"/>
        <w:spacing w:before="300" w:after="200"/>
      </w:pPr>
      <w:bookmarkStart w:id="20" w:name="_Toc2276"/>
      <w:r>
        <w:rPr>
          <w:rFonts w:ascii="黑体" w:hAnsi="黑体" w:eastAsia="黑体" w:cs="黑体"/>
          <w:b/>
          <w:bCs/>
          <w:color w:val="000000"/>
          <w:sz w:val="28"/>
          <w:szCs w:val="28"/>
        </w:rPr>
        <w:t>本章小结</w:t>
      </w:r>
      <w:bookmarkEnd w:id="20"/>
    </w:p>
    <w:p w14:paraId="508FA857">
      <w:pPr>
        <w:spacing w:after="120" w:line="360" w:lineRule="auto"/>
        <w:jc w:val="both"/>
      </w:pPr>
      <w:r>
        <w:rPr>
          <w:rFonts w:ascii="宋体" w:hAnsi="宋体" w:eastAsia="宋体" w:cs="宋体"/>
          <w:sz w:val="24"/>
          <w:szCs w:val="24"/>
        </w:rPr>
        <w:t>屯堡文化是明朝"调北征南"军事行动和卫所制度的产物，是汉文化在西南少数民族聚居区的一块"文化飞地"。它以"六个活化石"（语言、服饰、建筑、戏剧、信仰、习俗）为核心特征，以安顺市西秀区和平坝区为中心，形成了总面积约3000平方公里的黔中屯堡文化圈。作为贵州"四大文化工程"之一，屯堡文化不仅是学术研究的富矿，更是文化传承与旅游活化的宝贵资源。</w:t>
      </w:r>
    </w:p>
    <w:p w14:paraId="3B4F913B">
      <w:pPr>
        <w:pStyle w:val="3"/>
        <w:spacing w:before="300" w:after="200"/>
      </w:pPr>
      <w:bookmarkStart w:id="21" w:name="_Toc1714"/>
      <w:r>
        <w:rPr>
          <w:rFonts w:ascii="黑体" w:hAnsi="黑体" w:eastAsia="黑体" w:cs="黑体"/>
          <w:b/>
          <w:bCs/>
          <w:color w:val="000000"/>
          <w:sz w:val="28"/>
          <w:szCs w:val="28"/>
        </w:rPr>
        <w:t>思考与练习</w:t>
      </w:r>
      <w:bookmarkEnd w:id="21"/>
    </w:p>
    <w:p w14:paraId="0A1141A4">
      <w:pPr>
        <w:pStyle w:val="19"/>
        <w:numPr>
          <w:ilvl w:val="0"/>
          <w:numId w:val="2"/>
        </w:numPr>
        <w:spacing w:after="60" w:line="340" w:lineRule="auto"/>
      </w:pPr>
      <w:r>
        <w:rPr>
          <w:rFonts w:ascii="宋体" w:hAnsi="宋体" w:eastAsia="宋体" w:cs="宋体"/>
          <w:sz w:val="24"/>
          <w:szCs w:val="24"/>
        </w:rPr>
        <w:t>简述"调北征南"与屯堡文化形成的关系。</w:t>
      </w:r>
    </w:p>
    <w:p w14:paraId="04EF570E">
      <w:pPr>
        <w:pStyle w:val="19"/>
        <w:numPr>
          <w:ilvl w:val="0"/>
          <w:numId w:val="2"/>
        </w:numPr>
        <w:spacing w:after="60" w:line="340" w:lineRule="auto"/>
      </w:pPr>
      <w:r>
        <w:rPr>
          <w:rFonts w:ascii="宋体" w:hAnsi="宋体" w:eastAsia="宋体" w:cs="宋体"/>
          <w:sz w:val="24"/>
          <w:szCs w:val="24"/>
        </w:rPr>
        <w:t>屯堡文化被称为"明代活化石"，具体体现在哪些方面？</w:t>
      </w:r>
    </w:p>
    <w:p w14:paraId="5805456C">
      <w:pPr>
        <w:pStyle w:val="19"/>
        <w:numPr>
          <w:ilvl w:val="0"/>
          <w:numId w:val="2"/>
        </w:numPr>
        <w:spacing w:after="60" w:line="340" w:lineRule="auto"/>
      </w:pPr>
      <w:r>
        <w:rPr>
          <w:rFonts w:ascii="宋体" w:hAnsi="宋体" w:eastAsia="宋体" w:cs="宋体"/>
          <w:sz w:val="24"/>
          <w:szCs w:val="24"/>
        </w:rPr>
        <w:t>请在地图上标出黔中屯堡文化圈的核心村寨，并说明各村的特色。</w:t>
      </w:r>
    </w:p>
    <w:p w14:paraId="4488A111">
      <w:pPr>
        <w:pStyle w:val="19"/>
        <w:numPr>
          <w:ilvl w:val="0"/>
          <w:numId w:val="2"/>
        </w:numPr>
        <w:spacing w:after="60" w:line="340" w:lineRule="auto"/>
      </w:pPr>
      <w:r>
        <w:rPr>
          <w:rFonts w:ascii="宋体" w:hAnsi="宋体" w:eastAsia="宋体" w:cs="宋体"/>
          <w:sz w:val="24"/>
          <w:szCs w:val="24"/>
        </w:rPr>
        <w:t>对比分析屯堡文化与美洲阿米什文化的异同。</w:t>
      </w:r>
    </w:p>
    <w:p w14:paraId="72B2E2A5">
      <w:pPr>
        <w:pStyle w:val="19"/>
        <w:numPr>
          <w:ilvl w:val="0"/>
          <w:numId w:val="2"/>
        </w:numPr>
        <w:spacing w:after="60" w:line="340" w:lineRule="auto"/>
      </w:pPr>
      <w:r>
        <w:rPr>
          <w:rFonts w:ascii="宋体" w:hAnsi="宋体" w:eastAsia="宋体" w:cs="宋体"/>
          <w:sz w:val="24"/>
          <w:szCs w:val="24"/>
        </w:rPr>
        <w:t>查阅资料，了解贵州"四大文化工程"的内容与意义。</w:t>
      </w:r>
    </w:p>
    <w:p w14:paraId="7BA331C4">
      <w:pPr>
        <w:pStyle w:val="3"/>
        <w:spacing w:before="300" w:after="200"/>
      </w:pPr>
      <w:bookmarkStart w:id="22" w:name="_Toc13843"/>
      <w:r>
        <w:rPr>
          <w:rFonts w:ascii="黑体" w:hAnsi="黑体" w:eastAsia="黑体" w:cs="黑体"/>
          <w:b/>
          <w:bCs/>
          <w:color w:val="000000"/>
          <w:sz w:val="28"/>
          <w:szCs w:val="28"/>
        </w:rPr>
        <w:t>知识卡片：屯堡文化关键词</w:t>
      </w:r>
      <w:bookmarkEnd w:id="2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298E1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4FA664E">
            <w:pPr>
              <w:spacing w:after="0"/>
            </w:pPr>
            <w:r>
              <w:rPr>
                <w:rFonts w:ascii="宋体" w:hAnsi="宋体" w:eastAsia="宋体" w:cs="宋体"/>
                <w:b/>
                <w:bCs/>
                <w:color w:val="FFFFFF"/>
                <w:sz w:val="20"/>
                <w:szCs w:val="20"/>
              </w:rPr>
              <w:t>关键词</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3809952">
            <w:pPr>
              <w:spacing w:after="0"/>
            </w:pPr>
            <w:r>
              <w:rPr>
                <w:rFonts w:ascii="宋体" w:hAnsi="宋体" w:eastAsia="宋体" w:cs="宋体"/>
                <w:b/>
                <w:bCs/>
                <w:color w:val="FFFFFF"/>
                <w:sz w:val="20"/>
                <w:szCs w:val="20"/>
              </w:rPr>
              <w:t>释义</w:t>
            </w:r>
          </w:p>
        </w:tc>
      </w:tr>
      <w:tr w14:paraId="1ACEF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57EA80">
            <w:pPr>
              <w:spacing w:after="0"/>
            </w:pPr>
            <w:r>
              <w:rPr>
                <w:rFonts w:ascii="宋体" w:hAnsi="宋体" w:eastAsia="宋体" w:cs="宋体"/>
                <w:sz w:val="20"/>
                <w:szCs w:val="20"/>
              </w:rPr>
              <w:t>调北征南</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2A6BE6">
            <w:pPr>
              <w:spacing w:after="0"/>
            </w:pPr>
            <w:r>
              <w:rPr>
                <w:rFonts w:ascii="宋体" w:hAnsi="宋体" w:eastAsia="宋体" w:cs="宋体"/>
                <w:sz w:val="20"/>
                <w:szCs w:val="20"/>
              </w:rPr>
              <w:t>明洪武十四年（1381年），朱元璋派三十万大军征讨云南的军事行动</w:t>
            </w:r>
          </w:p>
        </w:tc>
      </w:tr>
      <w:tr w14:paraId="0A149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215814">
            <w:pPr>
              <w:spacing w:after="0"/>
            </w:pPr>
            <w:r>
              <w:rPr>
                <w:rFonts w:ascii="宋体" w:hAnsi="宋体" w:eastAsia="宋体" w:cs="宋体"/>
                <w:sz w:val="20"/>
                <w:szCs w:val="20"/>
              </w:rPr>
              <w:t>卫所制度</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C4CB3F2">
            <w:pPr>
              <w:spacing w:after="0"/>
            </w:pPr>
            <w:r>
              <w:rPr>
                <w:rFonts w:ascii="宋体" w:hAnsi="宋体" w:eastAsia="宋体" w:cs="宋体"/>
                <w:sz w:val="20"/>
                <w:szCs w:val="20"/>
              </w:rPr>
              <w:t>明代军事制度，官兵"三分守城，七分屯种"，屯堡由此产生</w:t>
            </w:r>
          </w:p>
        </w:tc>
      </w:tr>
      <w:tr w14:paraId="0F134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D10260">
            <w:pPr>
              <w:spacing w:after="0"/>
            </w:pPr>
            <w:r>
              <w:rPr>
                <w:rFonts w:ascii="宋体" w:hAnsi="宋体" w:eastAsia="宋体" w:cs="宋体"/>
                <w:sz w:val="20"/>
                <w:szCs w:val="20"/>
              </w:rPr>
              <w:t>地戏</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7C624D0">
            <w:pPr>
              <w:spacing w:after="0"/>
            </w:pPr>
            <w:r>
              <w:rPr>
                <w:rFonts w:ascii="宋体" w:hAnsi="宋体" w:eastAsia="宋体" w:cs="宋体"/>
                <w:sz w:val="20"/>
                <w:szCs w:val="20"/>
              </w:rPr>
              <w:t>屯堡人传承的古老戏剧形式，以面具表演古代战争故事</w:t>
            </w:r>
          </w:p>
        </w:tc>
      </w:tr>
      <w:tr w14:paraId="7A9B1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432831F">
            <w:pPr>
              <w:spacing w:after="0"/>
            </w:pPr>
            <w:r>
              <w:rPr>
                <w:rFonts w:ascii="宋体" w:hAnsi="宋体" w:eastAsia="宋体" w:cs="宋体"/>
                <w:sz w:val="20"/>
                <w:szCs w:val="20"/>
              </w:rPr>
              <w:t>凤阳汉装</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ADCC29">
            <w:pPr>
              <w:spacing w:after="0"/>
            </w:pPr>
            <w:r>
              <w:rPr>
                <w:rFonts w:ascii="宋体" w:hAnsi="宋体" w:eastAsia="宋体" w:cs="宋体"/>
                <w:sz w:val="20"/>
                <w:szCs w:val="20"/>
              </w:rPr>
              <w:t>屯堡妇女穿着的明代江淮传统服饰，延续至今六百年</w:t>
            </w:r>
          </w:p>
        </w:tc>
      </w:tr>
      <w:tr w14:paraId="4A0CE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853002">
            <w:pPr>
              <w:spacing w:after="0"/>
            </w:pPr>
            <w:r>
              <w:rPr>
                <w:rFonts w:ascii="宋体" w:hAnsi="宋体" w:eastAsia="宋体" w:cs="宋体"/>
                <w:sz w:val="20"/>
                <w:szCs w:val="20"/>
              </w:rPr>
              <w:t>汪公崇拜</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174E14">
            <w:pPr>
              <w:spacing w:after="0"/>
            </w:pPr>
            <w:r>
              <w:rPr>
                <w:rFonts w:ascii="宋体" w:hAnsi="宋体" w:eastAsia="宋体" w:cs="宋体"/>
                <w:sz w:val="20"/>
                <w:szCs w:val="20"/>
              </w:rPr>
              <w:t>屯堡人对唐代名将汪华的信仰，每年正月"抬汪公"</w:t>
            </w:r>
          </w:p>
        </w:tc>
      </w:tr>
      <w:tr w14:paraId="41ACB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4348E2">
            <w:pPr>
              <w:spacing w:after="0"/>
            </w:pPr>
            <w:r>
              <w:rPr>
                <w:rFonts w:ascii="宋体" w:hAnsi="宋体" w:eastAsia="宋体" w:cs="宋体"/>
                <w:sz w:val="20"/>
                <w:szCs w:val="20"/>
              </w:rPr>
              <w:t>文化孤岛</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E3E6001">
            <w:pPr>
              <w:spacing w:after="0"/>
            </w:pPr>
            <w:r>
              <w:rPr>
                <w:rFonts w:ascii="宋体" w:hAnsi="宋体" w:eastAsia="宋体" w:cs="宋体"/>
                <w:sz w:val="20"/>
                <w:szCs w:val="20"/>
              </w:rPr>
              <w:t>某一文化群体因历史原因迁入另一文化区域并保持原有文化特征的现象</w:t>
            </w:r>
          </w:p>
        </w:tc>
      </w:tr>
    </w:tbl>
    <w:p w14:paraId="4092D421">
      <w:r>
        <w:br w:type="page"/>
      </w:r>
    </w:p>
    <w:p w14:paraId="640AB56C">
      <w:pPr>
        <w:pStyle w:val="2"/>
        <w:spacing w:before="400" w:after="200"/>
      </w:pPr>
      <w:bookmarkStart w:id="23" w:name="_Toc23236"/>
      <w:r>
        <w:rPr>
          <w:rFonts w:ascii="黑体" w:hAnsi="黑体" w:eastAsia="黑体" w:cs="黑体"/>
          <w:b/>
          <w:bCs/>
          <w:color w:val="1F4E79"/>
          <w:sz w:val="32"/>
          <w:szCs w:val="32"/>
        </w:rPr>
        <w:t>第 2 章  屯堡文化核心要素</w:t>
      </w:r>
      <w:bookmarkEnd w:id="23"/>
    </w:p>
    <w:p w14:paraId="584E3EEA">
      <w:pPr>
        <w:pStyle w:val="3"/>
        <w:spacing w:before="300" w:after="200"/>
      </w:pPr>
      <w:bookmarkStart w:id="24" w:name="_Toc3237"/>
      <w:r>
        <w:rPr>
          <w:rFonts w:ascii="黑体" w:hAnsi="黑体" w:eastAsia="黑体" w:cs="黑体"/>
          <w:b/>
          <w:bCs/>
          <w:color w:val="000000"/>
          <w:sz w:val="28"/>
          <w:szCs w:val="28"/>
        </w:rPr>
        <w:t>学习目标</w:t>
      </w:r>
      <w:bookmarkEnd w:id="24"/>
    </w:p>
    <w:p w14:paraId="1F5B8EBB">
      <w:pPr>
        <w:pStyle w:val="19"/>
        <w:numPr>
          <w:ilvl w:val="0"/>
          <w:numId w:val="1"/>
        </w:numPr>
        <w:spacing w:after="60" w:line="340" w:lineRule="auto"/>
      </w:pPr>
      <w:r>
        <w:rPr>
          <w:rFonts w:ascii="宋体" w:hAnsi="宋体" w:eastAsia="宋体" w:cs="宋体"/>
          <w:sz w:val="24"/>
          <w:szCs w:val="24"/>
        </w:rPr>
        <w:t>系统掌握屯堡文化的六大核心要素及其特征</w:t>
      </w:r>
    </w:p>
    <w:p w14:paraId="4E13690D">
      <w:pPr>
        <w:pStyle w:val="19"/>
        <w:numPr>
          <w:ilvl w:val="0"/>
          <w:numId w:val="1"/>
        </w:numPr>
        <w:spacing w:after="60" w:line="340" w:lineRule="auto"/>
      </w:pPr>
      <w:r>
        <w:rPr>
          <w:rFonts w:ascii="宋体" w:hAnsi="宋体" w:eastAsia="宋体" w:cs="宋体"/>
          <w:sz w:val="24"/>
          <w:szCs w:val="24"/>
        </w:rPr>
        <w:t>理解屯堡建筑的空间布局与军事防御功能</w:t>
      </w:r>
    </w:p>
    <w:p w14:paraId="07C6ADA6">
      <w:pPr>
        <w:pStyle w:val="19"/>
        <w:numPr>
          <w:ilvl w:val="0"/>
          <w:numId w:val="1"/>
        </w:numPr>
        <w:spacing w:after="60" w:line="340" w:lineRule="auto"/>
      </w:pPr>
      <w:r>
        <w:rPr>
          <w:rFonts w:ascii="宋体" w:hAnsi="宋体" w:eastAsia="宋体" w:cs="宋体"/>
          <w:sz w:val="24"/>
          <w:szCs w:val="24"/>
        </w:rPr>
        <w:t>掌握安顺地戏的表演形式、剧目体系与文化功能</w:t>
      </w:r>
    </w:p>
    <w:p w14:paraId="33C4B43B">
      <w:pPr>
        <w:pStyle w:val="19"/>
        <w:numPr>
          <w:ilvl w:val="0"/>
          <w:numId w:val="1"/>
        </w:numPr>
        <w:spacing w:after="60" w:line="340" w:lineRule="auto"/>
      </w:pPr>
      <w:r>
        <w:rPr>
          <w:rFonts w:ascii="宋体" w:hAnsi="宋体" w:eastAsia="宋体" w:cs="宋体"/>
          <w:sz w:val="24"/>
          <w:szCs w:val="24"/>
        </w:rPr>
        <w:t>了解屯堡服饰的形制特征及其文化内涵</w:t>
      </w:r>
    </w:p>
    <w:p w14:paraId="7908F8A5">
      <w:pPr>
        <w:pStyle w:val="19"/>
        <w:numPr>
          <w:ilvl w:val="0"/>
          <w:numId w:val="1"/>
        </w:numPr>
        <w:spacing w:after="60" w:line="340" w:lineRule="auto"/>
      </w:pPr>
      <w:r>
        <w:rPr>
          <w:rFonts w:ascii="宋体" w:hAnsi="宋体" w:eastAsia="宋体" w:cs="宋体"/>
          <w:sz w:val="24"/>
          <w:szCs w:val="24"/>
        </w:rPr>
        <w:t>认识屯堡饮食、语言、信仰的独特价值</w:t>
      </w:r>
    </w:p>
    <w:p w14:paraId="62279D23">
      <w:pPr>
        <w:pStyle w:val="3"/>
        <w:spacing w:before="300" w:after="200"/>
      </w:pPr>
      <w:bookmarkStart w:id="25" w:name="_Toc11730"/>
      <w:r>
        <w:rPr>
          <w:rFonts w:ascii="黑体" w:hAnsi="黑体" w:eastAsia="黑体" w:cs="黑体"/>
          <w:b/>
          <w:bCs/>
          <w:color w:val="000000"/>
          <w:sz w:val="28"/>
          <w:szCs w:val="28"/>
        </w:rPr>
        <w:t>导入案例：一桌屯堡宴席里的六百年</w:t>
      </w:r>
      <w:bookmarkEnd w:id="25"/>
    </w:p>
    <w:p w14:paraId="49E34440">
      <w:pPr>
        <w:spacing w:after="120" w:line="360" w:lineRule="auto"/>
        <w:jc w:val="both"/>
      </w:pPr>
      <w:r>
        <w:rPr>
          <w:rFonts w:ascii="宋体" w:hAnsi="宋体" w:eastAsia="宋体" w:cs="宋体"/>
          <w:sz w:val="24"/>
          <w:szCs w:val="24"/>
        </w:rPr>
        <w:t>2026年初夏，安顺本寨的陈奶奶正在为孙女的婚礼准备宴席。厨房里，腊肉、血豆腐、糟辣椒、盐菜肉、鸡辣子——每一道菜的做法都与她的曾祖母、高祖母一脉相承。"这些菜都是老祖宗从江南带来的，"陈奶奶说，"六百年前怎么吃，我们现在还是怎么吃。"</w:t>
      </w:r>
    </w:p>
    <w:p w14:paraId="513C4108">
      <w:pPr>
        <w:spacing w:after="120" w:line="360" w:lineRule="auto"/>
        <w:jc w:val="both"/>
      </w:pPr>
      <w:r>
        <w:rPr>
          <w:rFonts w:ascii="宋体" w:hAnsi="宋体" w:eastAsia="宋体" w:cs="宋体"/>
          <w:sz w:val="24"/>
          <w:szCs w:val="24"/>
        </w:rPr>
        <w:t>而在村口的汪公庙前，陈奶奶的儿子正和村民们排练地戏《薛仁贵征东》。同一时刻，陈奶奶的孙女——贵州大学"黔影新生"团队的成员——正用AI工具将地戏面具转化为数字文创产品。传统与现代，在屯堡的日常中无缝交织。</w:t>
      </w:r>
    </w:p>
    <w:p w14:paraId="3E7FC435">
      <w:pPr>
        <w:pStyle w:val="3"/>
        <w:spacing w:before="300" w:after="200"/>
      </w:pPr>
      <w:bookmarkStart w:id="26" w:name="_Toc8657"/>
      <w:r>
        <w:rPr>
          <w:rFonts w:ascii="黑体" w:hAnsi="黑体" w:eastAsia="黑体" w:cs="黑体"/>
          <w:b/>
          <w:bCs/>
          <w:color w:val="000000"/>
          <w:sz w:val="28"/>
          <w:szCs w:val="28"/>
        </w:rPr>
        <w:t>2.1 屯堡建筑：石头王国里的防御美学</w:t>
      </w:r>
      <w:bookmarkEnd w:id="26"/>
    </w:p>
    <w:p w14:paraId="44EEEC4F">
      <w:pPr>
        <w:pStyle w:val="4"/>
        <w:spacing w:before="300" w:after="200"/>
      </w:pPr>
      <w:bookmarkStart w:id="27" w:name="_Toc2931"/>
      <w:r>
        <w:rPr>
          <w:rFonts w:ascii="黑体" w:hAnsi="黑体" w:eastAsia="黑体" w:cs="黑体"/>
          <w:b/>
          <w:bCs/>
          <w:color w:val="000000"/>
          <w:sz w:val="26"/>
          <w:szCs w:val="26"/>
        </w:rPr>
        <w:t>2.1.1 建筑材料的智慧选择</w:t>
      </w:r>
      <w:bookmarkEnd w:id="27"/>
    </w:p>
    <w:p w14:paraId="1204B729">
      <w:pPr>
        <w:spacing w:after="120" w:line="360" w:lineRule="auto"/>
        <w:jc w:val="both"/>
      </w:pPr>
      <w:r>
        <w:rPr>
          <w:rFonts w:ascii="宋体" w:hAnsi="宋体" w:eastAsia="宋体" w:cs="宋体"/>
          <w:sz w:val="24"/>
          <w:szCs w:val="24"/>
        </w:rPr>
        <w:t>屯堡建筑最显著的特征是"以石为材"。黔中地区喀斯特地貌发育，石材资源丰富，屯堡人就地取材，用片石砌墙、石板盖顶、石条铺路，形成了独特的"石头村寨"景观。</w:t>
      </w:r>
    </w:p>
    <w:p w14:paraId="2C84EFC0">
      <w:pPr>
        <w:spacing w:after="120" w:line="360" w:lineRule="auto"/>
        <w:jc w:val="both"/>
      </w:pPr>
      <w:r>
        <w:rPr>
          <w:rFonts w:ascii="宋体" w:hAnsi="宋体" w:eastAsia="宋体" w:cs="宋体"/>
          <w:sz w:val="24"/>
          <w:szCs w:val="24"/>
        </w:rPr>
        <w:t>石材的选择并非偶然。一方面，喀斯特地区的石灰岩易于开采和加工，可砌成规整的墙体；另一方面，石材防火、耐久、隔热，适合黔中气候。更重要的是，石墙坚固厚实，厚达40-60厘米，能有效抵御火铳和冷兵器攻击，满足军事防御需求。</w:t>
      </w:r>
    </w:p>
    <w:p w14:paraId="28AE8153">
      <w:pPr>
        <w:pStyle w:val="4"/>
        <w:spacing w:before="300" w:after="200"/>
      </w:pPr>
      <w:bookmarkStart w:id="28" w:name="_Toc22812"/>
      <w:r>
        <w:rPr>
          <w:rFonts w:ascii="黑体" w:hAnsi="黑体" w:eastAsia="黑体" w:cs="黑体"/>
          <w:b/>
          <w:bCs/>
          <w:color w:val="000000"/>
          <w:sz w:val="26"/>
          <w:szCs w:val="26"/>
        </w:rPr>
        <w:t>2.1.2 屯堡民居的典型形制</w:t>
      </w:r>
      <w:bookmarkEnd w:id="28"/>
    </w:p>
    <w:p w14:paraId="3BA3C3DB">
      <w:pPr>
        <w:spacing w:after="120" w:line="360" w:lineRule="auto"/>
        <w:jc w:val="both"/>
      </w:pPr>
      <w:r>
        <w:rPr>
          <w:rFonts w:ascii="宋体" w:hAnsi="宋体" w:eastAsia="宋体" w:cs="宋体"/>
          <w:sz w:val="24"/>
          <w:szCs w:val="24"/>
        </w:rPr>
        <w:t>屯堡民居以三合院和四合院为主，沿袭明代江淮民居的基本格局。典型的屯堡四合院由正房、左右厢房和门楼围合而成，中间为天井。</w:t>
      </w:r>
    </w:p>
    <w:p w14:paraId="0045BC62">
      <w:pPr>
        <w:spacing w:after="120" w:line="360" w:lineRule="auto"/>
        <w:jc w:val="both"/>
      </w:pPr>
      <w:r>
        <w:rPr>
          <w:rFonts w:ascii="宋体" w:hAnsi="宋体" w:eastAsia="宋体" w:cs="宋体"/>
          <w:b/>
          <w:bCs/>
          <w:sz w:val="24"/>
          <w:szCs w:val="24"/>
        </w:rPr>
        <w:t>正房。</w:t>
      </w:r>
      <w:r>
        <w:rPr>
          <w:rFonts w:ascii="宋体" w:hAnsi="宋体" w:eastAsia="宋体" w:cs="宋体"/>
          <w:sz w:val="24"/>
          <w:szCs w:val="24"/>
        </w:rPr>
        <w:t xml:space="preserve"> 坐北朝南，面阔三间或五间，中间为堂屋，两侧为卧室。堂屋正中设神龛，供奉"天地君亲师"牌位和祖先牌位，是家庭祭祀和接待贵客的场所。</w:t>
      </w:r>
    </w:p>
    <w:p w14:paraId="4542E216">
      <w:pPr>
        <w:spacing w:after="120" w:line="360" w:lineRule="auto"/>
        <w:jc w:val="both"/>
      </w:pPr>
      <w:r>
        <w:rPr>
          <w:rFonts w:ascii="宋体" w:hAnsi="宋体" w:eastAsia="宋体" w:cs="宋体"/>
          <w:b/>
          <w:bCs/>
          <w:sz w:val="24"/>
          <w:szCs w:val="24"/>
        </w:rPr>
        <w:t>厢房。</w:t>
      </w:r>
      <w:r>
        <w:rPr>
          <w:rFonts w:ascii="宋体" w:hAnsi="宋体" w:eastAsia="宋体" w:cs="宋体"/>
          <w:sz w:val="24"/>
          <w:szCs w:val="24"/>
        </w:rPr>
        <w:t xml:space="preserve"> 东西两侧厢房为晚辈居住或用作厨房、储藏室。厢房前檐往往设有走马廊，连接正房与门楼。</w:t>
      </w:r>
    </w:p>
    <w:p w14:paraId="2D034BC6">
      <w:pPr>
        <w:spacing w:after="120" w:line="360" w:lineRule="auto"/>
        <w:jc w:val="both"/>
      </w:pPr>
      <w:r>
        <w:rPr>
          <w:rFonts w:ascii="宋体" w:hAnsi="宋体" w:eastAsia="宋体" w:cs="宋体"/>
          <w:b/>
          <w:bCs/>
          <w:sz w:val="24"/>
          <w:szCs w:val="24"/>
        </w:rPr>
        <w:t>门楼。</w:t>
      </w:r>
      <w:r>
        <w:rPr>
          <w:rFonts w:ascii="宋体" w:hAnsi="宋体" w:eastAsia="宋体" w:cs="宋体"/>
          <w:sz w:val="24"/>
          <w:szCs w:val="24"/>
        </w:rPr>
        <w:t xml:space="preserve"> 屯堡门楼极富特色，分为"八字门楼"和"一字门楼"两种。八字门楼两侧墙体呈外八字形展开，门楣上雕刻蝙蝠（福）、鹿（禄）、鹤（寿）等吉祥图案。门楼上设枪眼箭孔，兼具防御功能。</w:t>
      </w:r>
    </w:p>
    <w:p w14:paraId="0158535C">
      <w:pPr>
        <w:spacing w:after="120" w:line="360" w:lineRule="auto"/>
        <w:jc w:val="both"/>
      </w:pPr>
      <w:r>
        <w:rPr>
          <w:rFonts w:ascii="宋体" w:hAnsi="宋体" w:eastAsia="宋体" w:cs="宋体"/>
          <w:b/>
          <w:bCs/>
          <w:sz w:val="24"/>
          <w:szCs w:val="24"/>
        </w:rPr>
        <w:t>天井。</w:t>
      </w:r>
      <w:r>
        <w:rPr>
          <w:rFonts w:ascii="宋体" w:hAnsi="宋体" w:eastAsia="宋体" w:cs="宋体"/>
          <w:sz w:val="24"/>
          <w:szCs w:val="24"/>
        </w:rPr>
        <w:t xml:space="preserve"> 天井是屯堡四合院的灵魂空间，既是采光通风的通道，也是家庭成员日常活动的场所。天井地面用石板铺成，四周设排水沟，雨水通过暗沟排向村外。</w:t>
      </w:r>
    </w:p>
    <w:p w14:paraId="5F9AEB68">
      <w:pPr>
        <w:pStyle w:val="4"/>
        <w:spacing w:before="300" w:after="200"/>
      </w:pPr>
      <w:bookmarkStart w:id="29" w:name="_Toc32290"/>
      <w:r>
        <w:rPr>
          <w:rFonts w:ascii="黑体" w:hAnsi="黑体" w:eastAsia="黑体" w:cs="黑体"/>
          <w:b/>
          <w:bCs/>
          <w:color w:val="000000"/>
          <w:sz w:val="26"/>
          <w:szCs w:val="26"/>
        </w:rPr>
        <w:t>2.1.3 军事防御体系</w:t>
      </w:r>
      <w:bookmarkEnd w:id="29"/>
    </w:p>
    <w:p w14:paraId="0017A7CC">
      <w:pPr>
        <w:spacing w:after="120" w:line="360" w:lineRule="auto"/>
        <w:jc w:val="both"/>
      </w:pPr>
      <w:r>
        <w:rPr>
          <w:rFonts w:ascii="宋体" w:hAnsi="宋体" w:eastAsia="宋体" w:cs="宋体"/>
          <w:sz w:val="24"/>
          <w:szCs w:val="24"/>
        </w:rPr>
        <w:t>屯堡建筑的军事防御功能体现在从微观到宏观的多个层面。</w:t>
      </w:r>
    </w:p>
    <w:p w14:paraId="31481E09">
      <w:pPr>
        <w:spacing w:after="120" w:line="360" w:lineRule="auto"/>
        <w:jc w:val="both"/>
      </w:pPr>
      <w:r>
        <w:rPr>
          <w:rFonts w:ascii="宋体" w:hAnsi="宋体" w:eastAsia="宋体" w:cs="宋体"/>
          <w:b/>
          <w:bCs/>
          <w:sz w:val="24"/>
          <w:szCs w:val="24"/>
        </w:rPr>
        <w:t>单体建筑层面。</w:t>
      </w:r>
      <w:r>
        <w:rPr>
          <w:rFonts w:ascii="宋体" w:hAnsi="宋体" w:eastAsia="宋体" w:cs="宋体"/>
          <w:sz w:val="24"/>
          <w:szCs w:val="24"/>
        </w:rPr>
        <w:t xml:space="preserve"> 屯堡民居的窗户小而高，外墙很少开窗，即使开窗也设石制窗棂和枪眼。屋顶女儿墙设垛口，可作射击掩体。门板厚实，内设门闩和暗锁。</w:t>
      </w:r>
    </w:p>
    <w:p w14:paraId="6D748EFE">
      <w:pPr>
        <w:spacing w:after="120" w:line="360" w:lineRule="auto"/>
        <w:jc w:val="both"/>
      </w:pPr>
      <w:r>
        <w:rPr>
          <w:rFonts w:ascii="宋体" w:hAnsi="宋体" w:eastAsia="宋体" w:cs="宋体"/>
          <w:b/>
          <w:bCs/>
          <w:sz w:val="24"/>
          <w:szCs w:val="24"/>
        </w:rPr>
        <w:t>巷道系统层面。</w:t>
      </w:r>
      <w:r>
        <w:rPr>
          <w:rFonts w:ascii="宋体" w:hAnsi="宋体" w:eastAsia="宋体" w:cs="宋体"/>
          <w:sz w:val="24"/>
          <w:szCs w:val="24"/>
        </w:rPr>
        <w:t xml:space="preserve"> 屯堡的巷道窄而曲折，宽度仅1.5-2米，两侧高墙耸立，形成"一线天"效果。巷道交叉口设丁字路口而非十字路口，进攻者进入后难以判断方向。巷道内设多处"断头路"和"死胡同"，是精心设计的防御陷阱。</w:t>
      </w:r>
    </w:p>
    <w:p w14:paraId="387E091D">
      <w:pPr>
        <w:spacing w:after="120" w:line="360" w:lineRule="auto"/>
        <w:jc w:val="both"/>
      </w:pPr>
      <w:r>
        <w:rPr>
          <w:rFonts w:ascii="宋体" w:hAnsi="宋体" w:eastAsia="宋体" w:cs="宋体"/>
          <w:b/>
          <w:bCs/>
          <w:sz w:val="24"/>
          <w:szCs w:val="24"/>
        </w:rPr>
        <w:t>村寨整体层面。</w:t>
      </w:r>
      <w:r>
        <w:rPr>
          <w:rFonts w:ascii="宋体" w:hAnsi="宋体" w:eastAsia="宋体" w:cs="宋体"/>
          <w:sz w:val="24"/>
          <w:szCs w:val="24"/>
        </w:rPr>
        <w:t xml:space="preserve"> 屯堡村寨一般建有寨墙，高3-5米，厚1-2米，设东、西、南、北四座寨门。寨门设门楼，有专人值守。碉楼是村寨的制高点和最后防线，通常高3-4层，内部储存粮食和水，可在被围困时坚守数日。</w:t>
      </w:r>
    </w:p>
    <w:p w14:paraId="4DEFB5D9">
      <w:pPr>
        <w:pStyle w:val="4"/>
        <w:spacing w:before="300" w:after="200"/>
      </w:pPr>
      <w:bookmarkStart w:id="30" w:name="_Toc7167"/>
      <w:r>
        <w:rPr>
          <w:rFonts w:ascii="黑体" w:hAnsi="黑体" w:eastAsia="黑体" w:cs="黑体"/>
          <w:b/>
          <w:bCs/>
          <w:color w:val="000000"/>
          <w:sz w:val="26"/>
          <w:szCs w:val="26"/>
        </w:rPr>
        <w:t>2.1.4 代表性建筑遗存</w:t>
      </w:r>
      <w:bookmarkEnd w:id="30"/>
    </w:p>
    <w:p w14:paraId="201D3CA1">
      <w:pPr>
        <w:spacing w:after="120" w:line="360" w:lineRule="auto"/>
        <w:jc w:val="both"/>
      </w:pPr>
      <w:r>
        <w:rPr>
          <w:rFonts w:ascii="宋体" w:hAnsi="宋体" w:eastAsia="宋体" w:cs="宋体"/>
          <w:b/>
          <w:bCs/>
          <w:sz w:val="24"/>
          <w:szCs w:val="24"/>
        </w:rPr>
        <w:t>本寨杨家老宅。</w:t>
      </w:r>
      <w:r>
        <w:rPr>
          <w:rFonts w:ascii="宋体" w:hAnsi="宋体" w:eastAsia="宋体" w:cs="宋体"/>
          <w:sz w:val="24"/>
          <w:szCs w:val="24"/>
        </w:rPr>
        <w:t xml:space="preserve"> 建于清道光年间，是屯堡民居的杰出代表。杨家老宅为三进四合院，占地约800平方米，木雕、石雕、砖雕工艺精湛。正房梁枋上的"双龙戏珠"木雕，刀法细腻，栩栩如生。</w:t>
      </w:r>
    </w:p>
    <w:p w14:paraId="0F0E8095">
      <w:pPr>
        <w:spacing w:after="120" w:line="360" w:lineRule="auto"/>
        <w:jc w:val="both"/>
      </w:pPr>
      <w:r>
        <w:rPr>
          <w:rFonts w:ascii="宋体" w:hAnsi="宋体" w:eastAsia="宋体" w:cs="宋体"/>
          <w:b/>
          <w:bCs/>
          <w:sz w:val="24"/>
          <w:szCs w:val="24"/>
        </w:rPr>
        <w:t>云山屯古建筑群。</w:t>
      </w:r>
      <w:r>
        <w:rPr>
          <w:rFonts w:ascii="宋体" w:hAnsi="宋体" w:eastAsia="宋体" w:cs="宋体"/>
          <w:sz w:val="24"/>
          <w:szCs w:val="24"/>
        </w:rPr>
        <w:t xml:space="preserve"> 云山屯沿山势层层叠叠而建，从前屯门到后屯门，全长约500米。屯内保存完好的明清建筑有数十栋，包括民居、商铺、戏台、庙宇等，是研究屯堡聚落演变的珍贵标本。</w:t>
      </w:r>
    </w:p>
    <w:p w14:paraId="621A123E">
      <w:pPr>
        <w:spacing w:after="120" w:line="360" w:lineRule="auto"/>
        <w:jc w:val="both"/>
      </w:pPr>
      <w:r>
        <w:rPr>
          <w:rFonts w:ascii="宋体" w:hAnsi="宋体" w:eastAsia="宋体" w:cs="宋体"/>
          <w:b/>
          <w:bCs/>
          <w:sz w:val="24"/>
          <w:szCs w:val="24"/>
        </w:rPr>
        <w:t>鲍家屯古水利系统。</w:t>
      </w:r>
      <w:r>
        <w:rPr>
          <w:rFonts w:ascii="宋体" w:hAnsi="宋体" w:eastAsia="宋体" w:cs="宋体"/>
          <w:sz w:val="24"/>
          <w:szCs w:val="24"/>
        </w:rPr>
        <w:t xml:space="preserve"> 鲍家屯的水利工程包括拦河坝、引水渠、分水闸、水碾房等设施，始建于明代，经清代多次修缮扩建。整个系统利用自然地势实现自流灌溉，体现了屯堡人高超的水利智慧。</w:t>
      </w:r>
    </w:p>
    <w:p w14:paraId="18AF8EDD">
      <w:pPr>
        <w:pStyle w:val="3"/>
        <w:spacing w:before="300" w:after="200"/>
      </w:pPr>
      <w:bookmarkStart w:id="31" w:name="_Toc14033"/>
      <w:r>
        <w:rPr>
          <w:rFonts w:ascii="黑体" w:hAnsi="黑体" w:eastAsia="黑体" w:cs="黑体"/>
          <w:b/>
          <w:bCs/>
          <w:color w:val="000000"/>
          <w:sz w:val="28"/>
          <w:szCs w:val="28"/>
        </w:rPr>
        <w:t>2.2 安顺地戏：面具背后的金戈铁马</w:t>
      </w:r>
      <w:bookmarkEnd w:id="31"/>
    </w:p>
    <w:p w14:paraId="16AEE6A1">
      <w:pPr>
        <w:pStyle w:val="4"/>
        <w:spacing w:before="300" w:after="200"/>
      </w:pPr>
      <w:bookmarkStart w:id="32" w:name="_Toc30608"/>
      <w:r>
        <w:rPr>
          <w:rFonts w:ascii="黑体" w:hAnsi="黑体" w:eastAsia="黑体" w:cs="黑体"/>
          <w:b/>
          <w:bCs/>
          <w:color w:val="000000"/>
          <w:sz w:val="26"/>
          <w:szCs w:val="26"/>
        </w:rPr>
        <w:t>2.2.1 地戏的起源与演变</w:t>
      </w:r>
      <w:bookmarkEnd w:id="32"/>
    </w:p>
    <w:p w14:paraId="090CE837">
      <w:pPr>
        <w:spacing w:after="120" w:line="360" w:lineRule="auto"/>
        <w:jc w:val="both"/>
      </w:pPr>
      <w:r>
        <w:rPr>
          <w:rFonts w:ascii="宋体" w:hAnsi="宋体" w:eastAsia="宋体" w:cs="宋体"/>
          <w:sz w:val="24"/>
          <w:szCs w:val="24"/>
        </w:rPr>
        <w:t>地戏，屯堡人称为"跳神"，是屯堡文化最具辨识度的艺术形式。关于地戏的起源，学术界主要有两种观点：一是"军傩说"，认为地戏源自明初军队中的傩仪，用于祭祀阵亡将士、鼓舞士气；二是"融合说"，认为地戏是明代军队傩仪与贵州本地傩戏融合的产物。</w:t>
      </w:r>
    </w:p>
    <w:p w14:paraId="39D1DBC7">
      <w:pPr>
        <w:spacing w:after="120" w:line="360" w:lineRule="auto"/>
        <w:jc w:val="both"/>
      </w:pPr>
      <w:r>
        <w:rPr>
          <w:rFonts w:ascii="宋体" w:hAnsi="宋体" w:eastAsia="宋体" w:cs="宋体"/>
          <w:sz w:val="24"/>
          <w:szCs w:val="24"/>
        </w:rPr>
        <w:t>无论哪种起源，地戏与屯堡的军事传统密不可分。地戏表演的剧目全部为古代战争故事，不演才子佳人、不演神魔志怪，这在中国戏剧中极为罕见。演员头戴木雕面具、背插靠旗、手持刀枪，以武打动作为主，唱腔高亢激越，锣鼓铿锵有力——每一处细节都透露出浓厚的军旅色彩。</w:t>
      </w:r>
    </w:p>
    <w:p w14:paraId="0BD6FF10">
      <w:pPr>
        <w:pStyle w:val="4"/>
        <w:spacing w:before="300" w:after="200"/>
      </w:pPr>
      <w:bookmarkStart w:id="33" w:name="_Toc30306"/>
      <w:r>
        <w:rPr>
          <w:rFonts w:ascii="黑体" w:hAnsi="黑体" w:eastAsia="黑体" w:cs="黑体"/>
          <w:b/>
          <w:bCs/>
          <w:color w:val="000000"/>
          <w:sz w:val="26"/>
          <w:szCs w:val="26"/>
        </w:rPr>
        <w:t>2.2.2 地戏的表演要素</w:t>
      </w:r>
      <w:bookmarkEnd w:id="33"/>
    </w:p>
    <w:p w14:paraId="75C2BE52">
      <w:pPr>
        <w:spacing w:after="120" w:line="360" w:lineRule="auto"/>
        <w:jc w:val="both"/>
      </w:pPr>
      <w:r>
        <w:rPr>
          <w:rFonts w:ascii="宋体" w:hAnsi="宋体" w:eastAsia="宋体" w:cs="宋体"/>
          <w:b/>
          <w:bCs/>
          <w:sz w:val="24"/>
          <w:szCs w:val="24"/>
        </w:rPr>
        <w:t>面具。</w:t>
      </w:r>
      <w:r>
        <w:rPr>
          <w:rFonts w:ascii="宋体" w:hAnsi="宋体" w:eastAsia="宋体" w:cs="宋体"/>
          <w:sz w:val="24"/>
          <w:szCs w:val="24"/>
        </w:rPr>
        <w:t xml:space="preserve"> 地戏面具是地戏的灵魂。每个面具代表一个角色，由整块白杨木或丁香木雕刻而成，经打磨、上色、涂漆等多道工序制成。面具色彩具有象征意义：红色代表忠勇（如关羽），黑色代表刚正（如张飞），白色代表奸诈（如曹操），蓝色代表勇猛（如单雄信）。面具的额头通常饰有龙、凤、虎等瑞兽图案，代表角色的身份和性格。</w:t>
      </w:r>
    </w:p>
    <w:p w14:paraId="55C4BCE6">
      <w:pPr>
        <w:spacing w:after="120" w:line="360" w:lineRule="auto"/>
        <w:jc w:val="both"/>
      </w:pPr>
      <w:r>
        <w:rPr>
          <w:rFonts w:ascii="宋体" w:hAnsi="宋体" w:eastAsia="宋体" w:cs="宋体"/>
          <w:b/>
          <w:bCs/>
          <w:sz w:val="24"/>
          <w:szCs w:val="24"/>
        </w:rPr>
        <w:t>服饰。</w:t>
      </w:r>
      <w:r>
        <w:rPr>
          <w:rFonts w:ascii="宋体" w:hAnsi="宋体" w:eastAsia="宋体" w:cs="宋体"/>
          <w:sz w:val="24"/>
          <w:szCs w:val="24"/>
        </w:rPr>
        <w:t xml:space="preserve"> 地戏演员的战裙、战袍、靠旗均为手工制作，色彩鲜艳，刺绣精美。靠旗上绣有龙纹或虎纹，随着演员的跳跃旋转迎风飘扬，视觉效果极为震撼。</w:t>
      </w:r>
    </w:p>
    <w:p w14:paraId="5CAE082B">
      <w:pPr>
        <w:spacing w:after="120" w:line="360" w:lineRule="auto"/>
        <w:jc w:val="both"/>
      </w:pPr>
      <w:r>
        <w:rPr>
          <w:rFonts w:ascii="宋体" w:hAnsi="宋体" w:eastAsia="宋体" w:cs="宋体"/>
          <w:b/>
          <w:bCs/>
          <w:sz w:val="24"/>
          <w:szCs w:val="24"/>
        </w:rPr>
        <w:t>唱腔与音乐。</w:t>
      </w:r>
      <w:r>
        <w:rPr>
          <w:rFonts w:ascii="宋体" w:hAnsi="宋体" w:eastAsia="宋体" w:cs="宋体"/>
          <w:sz w:val="24"/>
          <w:szCs w:val="24"/>
        </w:rPr>
        <w:t xml:space="preserve"> 地戏唱腔属于弋阳腔体系，高亢激越，一唱众和。伴奏乐器以锣、鼓、钹为主，无丝弦乐器，节奏鲜明有力。地戏的唱词以七言句和十言句为主，语言通俗易懂，保留了大量的明代口语词汇。</w:t>
      </w:r>
    </w:p>
    <w:p w14:paraId="670333CC">
      <w:pPr>
        <w:spacing w:after="120" w:line="360" w:lineRule="auto"/>
        <w:jc w:val="both"/>
      </w:pPr>
      <w:r>
        <w:rPr>
          <w:rFonts w:ascii="宋体" w:hAnsi="宋体" w:eastAsia="宋体" w:cs="宋体"/>
          <w:b/>
          <w:bCs/>
          <w:sz w:val="24"/>
          <w:szCs w:val="24"/>
        </w:rPr>
        <w:t>表演程式。</w:t>
      </w:r>
      <w:r>
        <w:rPr>
          <w:rFonts w:ascii="宋体" w:hAnsi="宋体" w:eastAsia="宋体" w:cs="宋体"/>
          <w:sz w:val="24"/>
          <w:szCs w:val="24"/>
        </w:rPr>
        <w:t xml:space="preserve"> 地戏表演分为"开箱""参庙""扫开场""跳神""扫收场""封箱"等环节。"开箱"是演出前的仪式，从木箱中取出面具，焚香祭拜；"参庙"是到村中庙宇参拜神灵；"扫开场"由两个小童出场清扫场地，为正戏开场；"跳神"即正戏演出；"扫收场"和"封箱"是演出结束后的仪式。</w:t>
      </w:r>
    </w:p>
    <w:p w14:paraId="2C2F981C">
      <w:pPr>
        <w:pStyle w:val="4"/>
        <w:spacing w:before="300" w:after="200"/>
      </w:pPr>
      <w:bookmarkStart w:id="34" w:name="_Toc6316"/>
      <w:r>
        <w:rPr>
          <w:rFonts w:ascii="黑体" w:hAnsi="黑体" w:eastAsia="黑体" w:cs="黑体"/>
          <w:b/>
          <w:bCs/>
          <w:color w:val="000000"/>
          <w:sz w:val="26"/>
          <w:szCs w:val="26"/>
        </w:rPr>
        <w:t>2.2.3 地戏剧目体系</w:t>
      </w:r>
      <w:bookmarkEnd w:id="34"/>
    </w:p>
    <w:p w14:paraId="4A01F11D">
      <w:pPr>
        <w:spacing w:after="120" w:line="360" w:lineRule="auto"/>
        <w:jc w:val="both"/>
      </w:pPr>
      <w:r>
        <w:rPr>
          <w:rFonts w:ascii="宋体" w:hAnsi="宋体" w:eastAsia="宋体" w:cs="宋体"/>
          <w:sz w:val="24"/>
          <w:szCs w:val="24"/>
        </w:rPr>
        <w:t>地戏剧目以"跳全书"为特色，即完整演绎一部历史演义小说。主要剧目包括：《封神演义》《东周列国志》《楚汉相争》《三国演义》《隋唐演义》《薛仁贵征东》《薛丁山征西》《狄青平南》《说岳全传》等。</w:t>
      </w:r>
    </w:p>
    <w:p w14:paraId="6FF10AD1">
      <w:pPr>
        <w:spacing w:after="120" w:line="360" w:lineRule="auto"/>
        <w:jc w:val="both"/>
      </w:pPr>
      <w:r>
        <w:rPr>
          <w:rFonts w:ascii="宋体" w:hAnsi="宋体" w:eastAsia="宋体" w:cs="宋体"/>
          <w:sz w:val="24"/>
          <w:szCs w:val="24"/>
        </w:rPr>
        <w:t>这些剧目的共同特点是：以战争为主线，以忠奸斗争为主题，以"忠君爱国"为核心价值观。一部地戏通常需要连续演出数日甚至数十日才能"跳完全书"。</w:t>
      </w:r>
    </w:p>
    <w:p w14:paraId="3ABA7465">
      <w:pPr>
        <w:pStyle w:val="4"/>
        <w:spacing w:before="300" w:after="200"/>
      </w:pPr>
      <w:bookmarkStart w:id="35" w:name="_Toc28604"/>
      <w:r>
        <w:rPr>
          <w:rFonts w:ascii="黑体" w:hAnsi="黑体" w:eastAsia="黑体" w:cs="黑体"/>
          <w:b/>
          <w:bCs/>
          <w:color w:val="000000"/>
          <w:sz w:val="26"/>
          <w:szCs w:val="26"/>
        </w:rPr>
        <w:t>2.2.4 地戏的文化功能</w:t>
      </w:r>
      <w:bookmarkEnd w:id="35"/>
    </w:p>
    <w:p w14:paraId="6B27737F">
      <w:pPr>
        <w:spacing w:after="120" w:line="360" w:lineRule="auto"/>
        <w:jc w:val="both"/>
      </w:pPr>
      <w:r>
        <w:rPr>
          <w:rFonts w:ascii="宋体" w:hAnsi="宋体" w:eastAsia="宋体" w:cs="宋体"/>
          <w:sz w:val="24"/>
          <w:szCs w:val="24"/>
        </w:rPr>
        <w:t>地戏在屯堡社会中承担着多重文化功能。</w:t>
      </w:r>
      <w:r>
        <w:rPr>
          <w:rFonts w:ascii="宋体" w:hAnsi="宋体" w:eastAsia="宋体" w:cs="宋体"/>
          <w:b/>
          <w:bCs/>
          <w:sz w:val="24"/>
          <w:szCs w:val="24"/>
        </w:rPr>
        <w:t>祭祀功能</w:t>
      </w:r>
      <w:r>
        <w:rPr>
          <w:rFonts w:ascii="宋体" w:hAnsi="宋体" w:eastAsia="宋体" w:cs="宋体"/>
          <w:sz w:val="24"/>
          <w:szCs w:val="24"/>
        </w:rPr>
        <w:t>——地戏源于军傩，具有祭祀神灵、驱邪纳福的宗教功能。</w:t>
      </w:r>
      <w:r>
        <w:rPr>
          <w:rFonts w:ascii="宋体" w:hAnsi="宋体" w:eastAsia="宋体" w:cs="宋体"/>
          <w:b/>
          <w:bCs/>
          <w:sz w:val="24"/>
          <w:szCs w:val="24"/>
        </w:rPr>
        <w:t>教育功能</w:t>
      </w:r>
      <w:r>
        <w:rPr>
          <w:rFonts w:ascii="宋体" w:hAnsi="宋体" w:eastAsia="宋体" w:cs="宋体"/>
          <w:sz w:val="24"/>
          <w:szCs w:val="24"/>
        </w:rPr>
        <w:t>——通过演绎历史故事，向社区成员传递忠孝节义的价值观。</w:t>
      </w:r>
      <w:r>
        <w:rPr>
          <w:rFonts w:ascii="宋体" w:hAnsi="宋体" w:eastAsia="宋体" w:cs="宋体"/>
          <w:b/>
          <w:bCs/>
          <w:sz w:val="24"/>
          <w:szCs w:val="24"/>
        </w:rPr>
        <w:t>娱乐功能</w:t>
      </w:r>
      <w:r>
        <w:rPr>
          <w:rFonts w:ascii="宋体" w:hAnsi="宋体" w:eastAsia="宋体" w:cs="宋体"/>
          <w:sz w:val="24"/>
          <w:szCs w:val="24"/>
        </w:rPr>
        <w:t>——在农闲时节和节庆期间，地戏是屯堡人最重要的娱乐活动。</w:t>
      </w:r>
      <w:r>
        <w:rPr>
          <w:rFonts w:ascii="宋体" w:hAnsi="宋体" w:eastAsia="宋体" w:cs="宋体"/>
          <w:b/>
          <w:bCs/>
          <w:sz w:val="24"/>
          <w:szCs w:val="24"/>
        </w:rPr>
        <w:t>凝聚功能</w:t>
      </w:r>
      <w:r>
        <w:rPr>
          <w:rFonts w:ascii="宋体" w:hAnsi="宋体" w:eastAsia="宋体" w:cs="宋体"/>
          <w:sz w:val="24"/>
          <w:szCs w:val="24"/>
        </w:rPr>
        <w:t>——地戏排练和演出是社区集体活动，强化了屯堡人的群体认同感。</w:t>
      </w:r>
    </w:p>
    <w:p w14:paraId="462D4C9D">
      <w:pPr>
        <w:pStyle w:val="3"/>
        <w:spacing w:before="300" w:after="200"/>
      </w:pPr>
      <w:bookmarkStart w:id="36" w:name="_Toc8756"/>
      <w:r>
        <w:rPr>
          <w:rFonts w:ascii="黑体" w:hAnsi="黑体" w:eastAsia="黑体" w:cs="黑体"/>
          <w:b/>
          <w:bCs/>
          <w:color w:val="000000"/>
          <w:sz w:val="28"/>
          <w:szCs w:val="28"/>
        </w:rPr>
        <w:t>2.3 屯堡服饰：穿在身上的明代记忆</w:t>
      </w:r>
      <w:bookmarkEnd w:id="36"/>
    </w:p>
    <w:p w14:paraId="6E5D5F52">
      <w:pPr>
        <w:pStyle w:val="4"/>
        <w:spacing w:before="300" w:after="200"/>
      </w:pPr>
      <w:bookmarkStart w:id="37" w:name="_Toc20357"/>
      <w:r>
        <w:rPr>
          <w:rFonts w:ascii="黑体" w:hAnsi="黑体" w:eastAsia="黑体" w:cs="黑体"/>
          <w:b/>
          <w:bCs/>
          <w:color w:val="000000"/>
          <w:sz w:val="26"/>
          <w:szCs w:val="26"/>
        </w:rPr>
        <w:t>2.3.1 女性服饰形制</w:t>
      </w:r>
      <w:bookmarkEnd w:id="37"/>
    </w:p>
    <w:p w14:paraId="3D09445E">
      <w:pPr>
        <w:spacing w:after="120" w:line="360" w:lineRule="auto"/>
        <w:jc w:val="both"/>
      </w:pPr>
      <w:r>
        <w:rPr>
          <w:rFonts w:ascii="宋体" w:hAnsi="宋体" w:eastAsia="宋体" w:cs="宋体"/>
          <w:sz w:val="24"/>
          <w:szCs w:val="24"/>
        </w:rPr>
        <w:t>屯堡妇女的传统服饰被称为"凤阳汉装"，完整保留了明代江淮地区汉族女性的着装风格。</w:t>
      </w:r>
    </w:p>
    <w:p w14:paraId="3919E172">
      <w:pPr>
        <w:spacing w:after="120" w:line="360" w:lineRule="auto"/>
        <w:jc w:val="both"/>
      </w:pPr>
      <w:r>
        <w:rPr>
          <w:rFonts w:ascii="宋体" w:hAnsi="宋体" w:eastAsia="宋体" w:cs="宋体"/>
          <w:b/>
          <w:bCs/>
          <w:sz w:val="24"/>
          <w:szCs w:val="24"/>
        </w:rPr>
        <w:t>上衣。</w:t>
      </w:r>
      <w:r>
        <w:rPr>
          <w:rFonts w:ascii="宋体" w:hAnsi="宋体" w:eastAsia="宋体" w:cs="宋体"/>
          <w:sz w:val="24"/>
          <w:szCs w:val="24"/>
        </w:rPr>
        <w:t xml:space="preserve"> 右衽大袖长袍，衣长过膝，颜色以青、蓝、绿为主，领口、袖口、衣襟镶有花边。长袍两侧开衩，便于劳作。</w:t>
      </w:r>
    </w:p>
    <w:p w14:paraId="3EAE49AB">
      <w:pPr>
        <w:spacing w:after="120" w:line="360" w:lineRule="auto"/>
        <w:jc w:val="both"/>
      </w:pPr>
      <w:r>
        <w:rPr>
          <w:rFonts w:ascii="宋体" w:hAnsi="宋体" w:eastAsia="宋体" w:cs="宋体"/>
          <w:b/>
          <w:bCs/>
          <w:sz w:val="24"/>
          <w:szCs w:val="24"/>
        </w:rPr>
        <w:t>头饰。</w:t>
      </w:r>
      <w:r>
        <w:rPr>
          <w:rFonts w:ascii="宋体" w:hAnsi="宋体" w:eastAsia="宋体" w:cs="宋体"/>
          <w:sz w:val="24"/>
          <w:szCs w:val="24"/>
        </w:rPr>
        <w:t xml:space="preserve"> 屯堡妇女以青布或白布包头，称为"头帕"。头帕的包法讲究，年轻女子包得整齐紧致，年长妇女包得松散随意。头帕是已婚妇女的标志，未婚女子不包头帕。</w:t>
      </w:r>
    </w:p>
    <w:p w14:paraId="1656460F">
      <w:pPr>
        <w:spacing w:after="120" w:line="360" w:lineRule="auto"/>
        <w:jc w:val="both"/>
      </w:pPr>
      <w:r>
        <w:rPr>
          <w:rFonts w:ascii="宋体" w:hAnsi="宋体" w:eastAsia="宋体" w:cs="宋体"/>
          <w:b/>
          <w:bCs/>
          <w:sz w:val="24"/>
          <w:szCs w:val="24"/>
        </w:rPr>
        <w:t>腰带。</w:t>
      </w:r>
      <w:r>
        <w:rPr>
          <w:rFonts w:ascii="宋体" w:hAnsi="宋体" w:eastAsia="宋体" w:cs="宋体"/>
          <w:sz w:val="24"/>
          <w:szCs w:val="24"/>
        </w:rPr>
        <w:t xml:space="preserve"> 丝头系腰是屯堡妇女服饰中最精致的部分，由数百根丝线编织而成，两端垂有丝穗，系在腰间飘逸灵动。</w:t>
      </w:r>
    </w:p>
    <w:p w14:paraId="1EAF552F">
      <w:pPr>
        <w:spacing w:after="120" w:line="360" w:lineRule="auto"/>
        <w:jc w:val="both"/>
      </w:pPr>
      <w:r>
        <w:rPr>
          <w:rFonts w:ascii="宋体" w:hAnsi="宋体" w:eastAsia="宋体" w:cs="宋体"/>
          <w:b/>
          <w:bCs/>
          <w:sz w:val="24"/>
          <w:szCs w:val="24"/>
        </w:rPr>
        <w:t>鞋履。</w:t>
      </w:r>
      <w:r>
        <w:rPr>
          <w:rFonts w:ascii="宋体" w:hAnsi="宋体" w:eastAsia="宋体" w:cs="宋体"/>
          <w:sz w:val="24"/>
          <w:szCs w:val="24"/>
        </w:rPr>
        <w:t xml:space="preserve"> 翘头绣花鞋，鞋头微微上翘，鞋面绣有花草纹样。翘头鞋的设计源自明代，既有装饰意义，也便于在石板路上行走时防止绊倒。</w:t>
      </w:r>
    </w:p>
    <w:p w14:paraId="276D5D84">
      <w:pPr>
        <w:pStyle w:val="4"/>
        <w:spacing w:before="300" w:after="200"/>
      </w:pPr>
      <w:bookmarkStart w:id="38" w:name="_Toc30291"/>
      <w:r>
        <w:rPr>
          <w:rFonts w:ascii="黑体" w:hAnsi="黑体" w:eastAsia="黑体" w:cs="黑体"/>
          <w:b/>
          <w:bCs/>
          <w:color w:val="000000"/>
          <w:sz w:val="26"/>
          <w:szCs w:val="26"/>
        </w:rPr>
        <w:t>2.3.2 服饰的文化象征</w:t>
      </w:r>
      <w:bookmarkEnd w:id="38"/>
    </w:p>
    <w:p w14:paraId="5DA6815F">
      <w:pPr>
        <w:spacing w:after="120" w:line="360" w:lineRule="auto"/>
        <w:jc w:val="both"/>
      </w:pPr>
      <w:r>
        <w:rPr>
          <w:rFonts w:ascii="宋体" w:hAnsi="宋体" w:eastAsia="宋体" w:cs="宋体"/>
          <w:sz w:val="24"/>
          <w:szCs w:val="24"/>
        </w:rPr>
        <w:t>屯堡服饰不仅是遮体御寒的衣物，更是文化身份的标志。在屯堡社区，穿凤阳汉装是"屯堡人"身份的外在表征。一位屯堡妇女终其一生穿着传统服饰，从少女时代的素雅到婚后的华丽再到老年的庄重，服饰伴随着她生命历程的每一个阶段。</w:t>
      </w:r>
    </w:p>
    <w:p w14:paraId="48DE27FE">
      <w:pPr>
        <w:spacing w:after="120" w:line="360" w:lineRule="auto"/>
        <w:jc w:val="both"/>
      </w:pPr>
      <w:r>
        <w:rPr>
          <w:rFonts w:ascii="宋体" w:hAnsi="宋体" w:eastAsia="宋体" w:cs="宋体"/>
          <w:sz w:val="24"/>
          <w:szCs w:val="24"/>
        </w:rPr>
        <w:t>屯堡服饰的延续也得益于社区规范。在传统屯堡村寨，妇女不穿汉装会遭到社区舆论的压力。这种"他律"在客观上保护了服饰传统的延续。</w:t>
      </w:r>
    </w:p>
    <w:p w14:paraId="462B8C65">
      <w:pPr>
        <w:pStyle w:val="4"/>
        <w:spacing w:before="300" w:after="200"/>
      </w:pPr>
      <w:bookmarkStart w:id="39" w:name="_Toc16087"/>
      <w:r>
        <w:rPr>
          <w:rFonts w:ascii="黑体" w:hAnsi="黑体" w:eastAsia="黑体" w:cs="黑体"/>
          <w:b/>
          <w:bCs/>
          <w:color w:val="000000"/>
          <w:sz w:val="26"/>
          <w:szCs w:val="26"/>
        </w:rPr>
        <w:t>2.3.3 服饰的当代变迁</w:t>
      </w:r>
      <w:bookmarkEnd w:id="39"/>
    </w:p>
    <w:p w14:paraId="15FAF69A">
      <w:pPr>
        <w:spacing w:after="120" w:line="360" w:lineRule="auto"/>
        <w:jc w:val="both"/>
      </w:pPr>
      <w:r>
        <w:rPr>
          <w:rFonts w:ascii="宋体" w:hAnsi="宋体" w:eastAsia="宋体" w:cs="宋体"/>
          <w:sz w:val="24"/>
          <w:szCs w:val="24"/>
        </w:rPr>
        <w:t>近年来，随着旅游业的发展和外出务工的增加，屯堡服饰面临着传承与变迁的双重挑战。年轻一代的屯堡女性在日常生活中越来越多地穿着现代服装，凤阳汉装更多地出现在节庆场合和旅游接待中。但与此同时，屯堡服饰作为非物质文化遗产的价值日益受到重视，服饰制作技艺被列入省级非物质文化遗产保护名录，一些村寨成立了传统服饰传习所。</w:t>
      </w:r>
    </w:p>
    <w:p w14:paraId="17BEF06C">
      <w:pPr>
        <w:pStyle w:val="3"/>
        <w:spacing w:before="300" w:after="200"/>
      </w:pPr>
      <w:bookmarkStart w:id="40" w:name="_Toc4849"/>
      <w:r>
        <w:rPr>
          <w:rFonts w:ascii="黑体" w:hAnsi="黑体" w:eastAsia="黑体" w:cs="黑体"/>
          <w:b/>
          <w:bCs/>
          <w:color w:val="000000"/>
          <w:sz w:val="28"/>
          <w:szCs w:val="28"/>
        </w:rPr>
        <w:t>2.4 屯堡饮食：舌尖上的江淮记忆</w:t>
      </w:r>
      <w:bookmarkEnd w:id="40"/>
    </w:p>
    <w:p w14:paraId="79E64D8D">
      <w:pPr>
        <w:pStyle w:val="4"/>
        <w:spacing w:before="300" w:after="200"/>
      </w:pPr>
      <w:bookmarkStart w:id="41" w:name="_Toc8291"/>
      <w:r>
        <w:rPr>
          <w:rFonts w:ascii="黑体" w:hAnsi="黑体" w:eastAsia="黑体" w:cs="黑体"/>
          <w:b/>
          <w:bCs/>
          <w:color w:val="000000"/>
          <w:sz w:val="26"/>
          <w:szCs w:val="26"/>
        </w:rPr>
        <w:t>2.4.1 屯堡饮食的源流</w:t>
      </w:r>
      <w:bookmarkEnd w:id="41"/>
    </w:p>
    <w:p w14:paraId="42FD5126">
      <w:pPr>
        <w:spacing w:after="120" w:line="360" w:lineRule="auto"/>
        <w:jc w:val="both"/>
      </w:pPr>
      <w:r>
        <w:rPr>
          <w:rFonts w:ascii="宋体" w:hAnsi="宋体" w:eastAsia="宋体" w:cs="宋体"/>
          <w:sz w:val="24"/>
          <w:szCs w:val="24"/>
        </w:rPr>
        <w:t>屯堡饮食的根基在江淮，经过六百年的本土化调适，形成了"江南底子、黔中风味"的独特体系。屯堡人的祖先来自安徽、江苏、江西等地，他们将江南的烹饪技艺带到了黔中，又因地制宜地吸收了贵州的辣椒、酸汤等元素。</w:t>
      </w:r>
    </w:p>
    <w:p w14:paraId="5177AD5C">
      <w:pPr>
        <w:pStyle w:val="4"/>
        <w:spacing w:before="300" w:after="200"/>
      </w:pPr>
      <w:bookmarkStart w:id="42" w:name="_Toc25275"/>
      <w:r>
        <w:rPr>
          <w:rFonts w:ascii="黑体" w:hAnsi="黑体" w:eastAsia="黑体" w:cs="黑体"/>
          <w:b/>
          <w:bCs/>
          <w:color w:val="000000"/>
          <w:sz w:val="26"/>
          <w:szCs w:val="26"/>
        </w:rPr>
        <w:t>2.4.2 代表性屯堡菜肴</w:t>
      </w:r>
      <w:bookmarkEnd w:id="42"/>
    </w:p>
    <w:p w14:paraId="585CC15C">
      <w:pPr>
        <w:spacing w:after="120" w:line="360" w:lineRule="auto"/>
        <w:jc w:val="both"/>
      </w:pPr>
      <w:r>
        <w:rPr>
          <w:rFonts w:ascii="宋体" w:hAnsi="宋体" w:eastAsia="宋体" w:cs="宋体"/>
          <w:b/>
          <w:bCs/>
          <w:sz w:val="24"/>
          <w:szCs w:val="24"/>
        </w:rPr>
        <w:t>腊肉血豆腐。</w:t>
      </w:r>
      <w:r>
        <w:rPr>
          <w:rFonts w:ascii="宋体" w:hAnsi="宋体" w:eastAsia="宋体" w:cs="宋体"/>
          <w:sz w:val="24"/>
          <w:szCs w:val="24"/>
        </w:rPr>
        <w:t xml:space="preserve"> 屯堡人家家户户腊月杀年猪，将猪肉腌制后挂在灶台上方用松柏枝熏制。血豆腐是用猪血、豆腐、猪肉末和香料混合后制成的圆形食物，切片后与腊肉同蒸，香气浓郁。</w:t>
      </w:r>
    </w:p>
    <w:p w14:paraId="2EA51F95">
      <w:pPr>
        <w:spacing w:after="120" w:line="360" w:lineRule="auto"/>
        <w:jc w:val="both"/>
      </w:pPr>
      <w:r>
        <w:rPr>
          <w:rFonts w:ascii="宋体" w:hAnsi="宋体" w:eastAsia="宋体" w:cs="宋体"/>
          <w:b/>
          <w:bCs/>
          <w:sz w:val="24"/>
          <w:szCs w:val="24"/>
        </w:rPr>
        <w:t>鸡辣子。</w:t>
      </w:r>
      <w:r>
        <w:rPr>
          <w:rFonts w:ascii="宋体" w:hAnsi="宋体" w:eastAsia="宋体" w:cs="宋体"/>
          <w:sz w:val="24"/>
          <w:szCs w:val="24"/>
        </w:rPr>
        <w:t xml:space="preserve"> 将土鸡与大量干辣椒、花椒、生姜、大蒜一同炖煮，鸡肉鲜嫩，汤汁麻辣鲜香。鸡辣子既是菜肴也是火锅底料，体现了屯堡人对辣椒的热爱。</w:t>
      </w:r>
    </w:p>
    <w:p w14:paraId="39E76545">
      <w:pPr>
        <w:spacing w:after="120" w:line="360" w:lineRule="auto"/>
        <w:jc w:val="both"/>
      </w:pPr>
      <w:r>
        <w:rPr>
          <w:rFonts w:ascii="宋体" w:hAnsi="宋体" w:eastAsia="宋体" w:cs="宋体"/>
          <w:b/>
          <w:bCs/>
          <w:sz w:val="24"/>
          <w:szCs w:val="24"/>
        </w:rPr>
        <w:t>盐菜肉。</w:t>
      </w:r>
      <w:r>
        <w:rPr>
          <w:rFonts w:ascii="宋体" w:hAnsi="宋体" w:eastAsia="宋体" w:cs="宋体"/>
          <w:sz w:val="24"/>
          <w:szCs w:val="24"/>
        </w:rPr>
        <w:t xml:space="preserve"> 用腌制发酵的青菜（盐菜）与五花肉同蒸，盐菜吸收了肉的油脂，肉则增添了盐菜的咸香，肥而不腻。</w:t>
      </w:r>
    </w:p>
    <w:p w14:paraId="6E16005A">
      <w:pPr>
        <w:spacing w:after="120" w:line="360" w:lineRule="auto"/>
        <w:jc w:val="both"/>
      </w:pPr>
      <w:r>
        <w:rPr>
          <w:rFonts w:ascii="宋体" w:hAnsi="宋体" w:eastAsia="宋体" w:cs="宋体"/>
          <w:b/>
          <w:bCs/>
          <w:sz w:val="24"/>
          <w:szCs w:val="24"/>
        </w:rPr>
        <w:t>糟辣椒。</w:t>
      </w:r>
      <w:r>
        <w:rPr>
          <w:rFonts w:ascii="宋体" w:hAnsi="宋体" w:eastAsia="宋体" w:cs="宋体"/>
          <w:sz w:val="24"/>
          <w:szCs w:val="24"/>
        </w:rPr>
        <w:t xml:space="preserve"> 用鲜红辣椒剁碎后加盐和酒发酵制成的调味品，是屯堡菜的灵魂。几乎每道菜都少不了糟辣椒的点缀。</w:t>
      </w:r>
    </w:p>
    <w:p w14:paraId="32F0FE2A">
      <w:pPr>
        <w:pStyle w:val="4"/>
        <w:spacing w:before="300" w:after="200"/>
      </w:pPr>
      <w:bookmarkStart w:id="43" w:name="_Toc989"/>
      <w:r>
        <w:rPr>
          <w:rFonts w:ascii="黑体" w:hAnsi="黑体" w:eastAsia="黑体" w:cs="黑体"/>
          <w:b/>
          <w:bCs/>
          <w:color w:val="000000"/>
          <w:sz w:val="26"/>
          <w:szCs w:val="26"/>
        </w:rPr>
        <w:t>2.4.3 饮食习俗</w:t>
      </w:r>
      <w:bookmarkEnd w:id="43"/>
    </w:p>
    <w:p w14:paraId="6CFC2CB8">
      <w:pPr>
        <w:spacing w:after="120" w:line="360" w:lineRule="auto"/>
        <w:jc w:val="both"/>
      </w:pPr>
      <w:r>
        <w:rPr>
          <w:rFonts w:ascii="宋体" w:hAnsi="宋体" w:eastAsia="宋体" w:cs="宋体"/>
          <w:sz w:val="24"/>
          <w:szCs w:val="24"/>
        </w:rPr>
        <w:t>屯堡人的饮食习俗保留了许多明代遗风。"八大碗"是屯堡宴席的标准配置，包括鸡、鸭、鱼、肉、豆腐、蔬菜等八道主菜，摆放顺序和座位安排都有严格规矩。"吃酒"一词在屯堡话中意为"参加宴席"，是明代用语的遗存。</w:t>
      </w:r>
    </w:p>
    <w:p w14:paraId="4AC86D4E">
      <w:pPr>
        <w:pStyle w:val="3"/>
        <w:spacing w:before="300" w:after="200"/>
      </w:pPr>
      <w:bookmarkStart w:id="44" w:name="_Toc12134"/>
      <w:r>
        <w:rPr>
          <w:rFonts w:ascii="黑体" w:hAnsi="黑体" w:eastAsia="黑体" w:cs="黑体"/>
          <w:b/>
          <w:bCs/>
          <w:color w:val="000000"/>
          <w:sz w:val="28"/>
          <w:szCs w:val="28"/>
        </w:rPr>
        <w:t>2.5 屯堡语言：明代官话的活标本</w:t>
      </w:r>
      <w:bookmarkEnd w:id="44"/>
    </w:p>
    <w:p w14:paraId="1DD04768">
      <w:pPr>
        <w:pStyle w:val="4"/>
        <w:spacing w:before="300" w:after="200"/>
      </w:pPr>
      <w:bookmarkStart w:id="45" w:name="_Toc27054"/>
      <w:r>
        <w:rPr>
          <w:rFonts w:ascii="黑体" w:hAnsi="黑体" w:eastAsia="黑体" w:cs="黑体"/>
          <w:b/>
          <w:bCs/>
          <w:color w:val="000000"/>
          <w:sz w:val="26"/>
          <w:szCs w:val="26"/>
        </w:rPr>
        <w:t>2.5.1 屯堡话的语音特征</w:t>
      </w:r>
      <w:bookmarkEnd w:id="45"/>
    </w:p>
    <w:p w14:paraId="3520092F">
      <w:pPr>
        <w:spacing w:after="120" w:line="360" w:lineRule="auto"/>
        <w:jc w:val="both"/>
      </w:pPr>
      <w:r>
        <w:rPr>
          <w:rFonts w:ascii="宋体" w:hAnsi="宋体" w:eastAsia="宋体" w:cs="宋体"/>
          <w:sz w:val="24"/>
          <w:szCs w:val="24"/>
        </w:rPr>
        <w:t>屯堡话属于西南官话的黔中片，但与周边方言有显著差异。屯堡话保留了明代官话的卷舌音，这是周边方言所不具备的特征。例如，"知""吃""诗"等字的声母在屯堡话中读作卷舌音，而在安顺市区方言中读作平舌音。</w:t>
      </w:r>
    </w:p>
    <w:p w14:paraId="4F9F6FC4">
      <w:pPr>
        <w:pStyle w:val="4"/>
        <w:spacing w:before="300" w:after="200"/>
      </w:pPr>
      <w:bookmarkStart w:id="46" w:name="_Toc1820"/>
      <w:r>
        <w:rPr>
          <w:rFonts w:ascii="黑体" w:hAnsi="黑体" w:eastAsia="黑体" w:cs="黑体"/>
          <w:b/>
          <w:bCs/>
          <w:color w:val="000000"/>
          <w:sz w:val="26"/>
          <w:szCs w:val="26"/>
        </w:rPr>
        <w:t>2.5.2 屯堡话的词汇特色</w:t>
      </w:r>
      <w:bookmarkEnd w:id="46"/>
    </w:p>
    <w:p w14:paraId="03485387">
      <w:pPr>
        <w:spacing w:after="120" w:line="360" w:lineRule="auto"/>
        <w:jc w:val="both"/>
      </w:pPr>
      <w:r>
        <w:rPr>
          <w:rFonts w:ascii="宋体" w:hAnsi="宋体" w:eastAsia="宋体" w:cs="宋体"/>
          <w:sz w:val="24"/>
          <w:szCs w:val="24"/>
        </w:rPr>
        <w:t>屯堡话保留了大量明代口语词汇。例如："吃酒"（参加宴席）、"赶场"（赶集）、"晓得"（知道）、"堂客"（妻子）、"汉子"（丈夫）、"娃儿"（孩子）等。这些词汇在明代白话小说中常见，在普通话和其他方言中已经消失或意义发生变化，却在屯堡话中保留至今。</w:t>
      </w:r>
    </w:p>
    <w:p w14:paraId="1D30E522">
      <w:pPr>
        <w:pStyle w:val="4"/>
        <w:spacing w:before="300" w:after="200"/>
      </w:pPr>
      <w:bookmarkStart w:id="47" w:name="_Toc309"/>
      <w:r>
        <w:rPr>
          <w:rFonts w:ascii="黑体" w:hAnsi="黑体" w:eastAsia="黑体" w:cs="黑体"/>
          <w:b/>
          <w:bCs/>
          <w:color w:val="000000"/>
          <w:sz w:val="26"/>
          <w:szCs w:val="26"/>
        </w:rPr>
        <w:t>2.5.3 屯堡话的研究价值</w:t>
      </w:r>
      <w:bookmarkEnd w:id="47"/>
    </w:p>
    <w:p w14:paraId="1C657DC8">
      <w:pPr>
        <w:spacing w:after="120" w:line="360" w:lineRule="auto"/>
        <w:jc w:val="both"/>
      </w:pPr>
      <w:r>
        <w:rPr>
          <w:rFonts w:ascii="宋体" w:hAnsi="宋体" w:eastAsia="宋体" w:cs="宋体"/>
          <w:sz w:val="24"/>
          <w:szCs w:val="24"/>
        </w:rPr>
        <w:t>屯堡话为历史语言学研究提供了珍贵语料。通过屯堡话与《洪武正韵》《中原音韵》等明代韵书的对比，可以重构明代官话的语音系统。同时，屯堡话中保留的军事词汇（如"哨""铺""旗""总旗"等）为研究明代军事制度提供了语言证据。</w:t>
      </w:r>
    </w:p>
    <w:p w14:paraId="04A8DF20">
      <w:pPr>
        <w:pStyle w:val="3"/>
        <w:spacing w:before="300" w:after="200"/>
      </w:pPr>
      <w:bookmarkStart w:id="48" w:name="_Toc13870"/>
      <w:r>
        <w:rPr>
          <w:rFonts w:ascii="黑体" w:hAnsi="黑体" w:eastAsia="黑体" w:cs="黑体"/>
          <w:b/>
          <w:bCs/>
          <w:color w:val="000000"/>
          <w:sz w:val="28"/>
          <w:szCs w:val="28"/>
        </w:rPr>
        <w:t>2.6 屯堡信仰：汪公崇拜与多元信仰</w:t>
      </w:r>
      <w:bookmarkEnd w:id="48"/>
    </w:p>
    <w:p w14:paraId="4BEC67A3">
      <w:pPr>
        <w:pStyle w:val="4"/>
        <w:spacing w:before="300" w:after="200"/>
      </w:pPr>
      <w:bookmarkStart w:id="49" w:name="_Toc7719"/>
      <w:r>
        <w:rPr>
          <w:rFonts w:ascii="黑体" w:hAnsi="黑体" w:eastAsia="黑体" w:cs="黑体"/>
          <w:b/>
          <w:bCs/>
          <w:color w:val="000000"/>
          <w:sz w:val="26"/>
          <w:szCs w:val="26"/>
        </w:rPr>
        <w:t>2.6.1 汪公崇拜的起源</w:t>
      </w:r>
      <w:bookmarkEnd w:id="49"/>
    </w:p>
    <w:p w14:paraId="2D3B22BC">
      <w:pPr>
        <w:spacing w:after="120" w:line="360" w:lineRule="auto"/>
        <w:jc w:val="both"/>
      </w:pPr>
      <w:r>
        <w:rPr>
          <w:rFonts w:ascii="宋体" w:hAnsi="宋体" w:eastAsia="宋体" w:cs="宋体"/>
          <w:sz w:val="24"/>
          <w:szCs w:val="24"/>
        </w:rPr>
        <w:t>汪公，即唐代名将汪华（586-649），安徽歙县人。隋末天下大乱，汪华起兵保境安民，占据歙、宣、杭、睦、婺、饶六州，称吴王。后归顺唐朝，被封为越国公。在安徽民间，汪华被尊为"汪公大帝"或"太阳菩萨"。</w:t>
      </w:r>
    </w:p>
    <w:p w14:paraId="43B18850">
      <w:pPr>
        <w:spacing w:after="120" w:line="360" w:lineRule="auto"/>
        <w:jc w:val="both"/>
      </w:pPr>
      <w:r>
        <w:rPr>
          <w:rFonts w:ascii="宋体" w:hAnsi="宋体" w:eastAsia="宋体" w:cs="宋体"/>
          <w:sz w:val="24"/>
          <w:szCs w:val="24"/>
        </w:rPr>
        <w:t>屯堡人的祖先来自安徽，他们将汪公信仰带到了黔中。在屯堡村寨，几乎村村有汪公庙，每年正月举行隆重的"抬汪公"仪式——将汪公神像从庙中抬出，在村中巡游，祈求风调雨顺、国泰民安。</w:t>
      </w:r>
    </w:p>
    <w:p w14:paraId="133D2E77">
      <w:pPr>
        <w:pStyle w:val="4"/>
        <w:spacing w:before="300" w:after="200"/>
      </w:pPr>
      <w:bookmarkStart w:id="50" w:name="_Toc16259"/>
      <w:r>
        <w:rPr>
          <w:rFonts w:ascii="黑体" w:hAnsi="黑体" w:eastAsia="黑体" w:cs="黑体"/>
          <w:b/>
          <w:bCs/>
          <w:color w:val="000000"/>
          <w:sz w:val="26"/>
          <w:szCs w:val="26"/>
        </w:rPr>
        <w:t>2.6.2 多元信仰体系</w:t>
      </w:r>
      <w:bookmarkEnd w:id="50"/>
    </w:p>
    <w:p w14:paraId="37C491D0">
      <w:pPr>
        <w:spacing w:after="120" w:line="360" w:lineRule="auto"/>
        <w:jc w:val="both"/>
      </w:pPr>
      <w:r>
        <w:rPr>
          <w:rFonts w:ascii="宋体" w:hAnsi="宋体" w:eastAsia="宋体" w:cs="宋体"/>
          <w:sz w:val="24"/>
          <w:szCs w:val="24"/>
        </w:rPr>
        <w:t>除了汪公崇拜，屯堡人的信仰体系还包括：五显崇拜（五显神是财神和火神）、祖先崇拜（堂屋设祖先牌位，逢年过节祭拜）、土地崇拜（村村有土地庙）、佛教信仰（云鹫寺、天台山伍龙寺等）、道教信仰（民间道士主持丧葬仪式）。</w:t>
      </w:r>
    </w:p>
    <w:p w14:paraId="34CA1CD3">
      <w:pPr>
        <w:spacing w:after="120" w:line="360" w:lineRule="auto"/>
        <w:jc w:val="both"/>
      </w:pPr>
      <w:r>
        <w:rPr>
          <w:rFonts w:ascii="宋体" w:hAnsi="宋体" w:eastAsia="宋体" w:cs="宋体"/>
          <w:sz w:val="24"/>
          <w:szCs w:val="24"/>
        </w:rPr>
        <w:t>这种多元信仰体系体现了屯堡文化的包容性和实用主义精神——"见庙就拜，见神就求"，不问宗教归属，只求平安顺遂。</w:t>
      </w:r>
    </w:p>
    <w:p w14:paraId="5673513D">
      <w:pPr>
        <w:pStyle w:val="4"/>
        <w:spacing w:before="300" w:after="200"/>
      </w:pPr>
      <w:bookmarkStart w:id="51" w:name="_Toc17863"/>
      <w:r>
        <w:rPr>
          <w:rFonts w:ascii="黑体" w:hAnsi="黑体" w:eastAsia="黑体" w:cs="黑体"/>
          <w:b/>
          <w:bCs/>
          <w:color w:val="000000"/>
          <w:sz w:val="26"/>
          <w:szCs w:val="26"/>
        </w:rPr>
        <w:t>2.6.3 信仰的社会功能</w:t>
      </w:r>
      <w:bookmarkEnd w:id="51"/>
    </w:p>
    <w:p w14:paraId="64AAF8DE">
      <w:pPr>
        <w:spacing w:after="120" w:line="360" w:lineRule="auto"/>
        <w:jc w:val="both"/>
      </w:pPr>
      <w:r>
        <w:rPr>
          <w:rFonts w:ascii="宋体" w:hAnsi="宋体" w:eastAsia="宋体" w:cs="宋体"/>
          <w:sz w:val="24"/>
          <w:szCs w:val="24"/>
        </w:rPr>
        <w:t>屯堡的信仰体系在社区整合中发挥着关键作用。"抬汪公"等公共仪式是全村的集体活动，强化了社区的凝聚力和认同感。庙宇是社区公共空间，承担着议事、教育、娱乐等多种功能。祖先崇拜则维系着家族的团结和延续。</w:t>
      </w:r>
    </w:p>
    <w:p w14:paraId="3EB81A8D">
      <w:pPr>
        <w:pStyle w:val="3"/>
        <w:spacing w:before="300" w:after="200"/>
      </w:pPr>
      <w:bookmarkStart w:id="52" w:name="_Toc20833"/>
      <w:r>
        <w:rPr>
          <w:rFonts w:ascii="黑体" w:hAnsi="黑体" w:eastAsia="黑体" w:cs="黑体"/>
          <w:b/>
          <w:bCs/>
          <w:color w:val="000000"/>
          <w:sz w:val="28"/>
          <w:szCs w:val="28"/>
        </w:rPr>
        <w:t>本章小结</w:t>
      </w:r>
      <w:bookmarkEnd w:id="52"/>
    </w:p>
    <w:p w14:paraId="00309C04">
      <w:pPr>
        <w:spacing w:after="120" w:line="360" w:lineRule="auto"/>
        <w:jc w:val="both"/>
      </w:pPr>
      <w:r>
        <w:rPr>
          <w:rFonts w:ascii="宋体" w:hAnsi="宋体" w:eastAsia="宋体" w:cs="宋体"/>
          <w:sz w:val="24"/>
          <w:szCs w:val="24"/>
        </w:rPr>
        <w:t>屯堡文化的核心要素包括建筑、地戏、服饰、饮食、语言、信仰六大维度。屯堡建筑以石木结构为特征，兼具居住和防御功能；安顺地戏以面具表演古代战争故事，是中国戏剧的活化石；凤阳汉装完整保留了明代江淮女性服饰；屯堡饮食融合江南烹饪与贵州风味；屯堡话保留了大量明代官话特征；汪公崇拜和多元信仰体系维系着屯堡社区的精神世界。这六大要素相互关联、彼此支撑，构成了屯堡文化的完整生态系统。</w:t>
      </w:r>
    </w:p>
    <w:p w14:paraId="3E929350">
      <w:pPr>
        <w:pStyle w:val="3"/>
        <w:spacing w:before="300" w:after="200"/>
      </w:pPr>
      <w:bookmarkStart w:id="53" w:name="_Toc31505"/>
      <w:r>
        <w:rPr>
          <w:rFonts w:ascii="黑体" w:hAnsi="黑体" w:eastAsia="黑体" w:cs="黑体"/>
          <w:b/>
          <w:bCs/>
          <w:color w:val="000000"/>
          <w:sz w:val="28"/>
          <w:szCs w:val="28"/>
        </w:rPr>
        <w:t>思考与练习</w:t>
      </w:r>
      <w:bookmarkEnd w:id="53"/>
    </w:p>
    <w:p w14:paraId="6FF895BF">
      <w:pPr>
        <w:pStyle w:val="19"/>
        <w:numPr>
          <w:ilvl w:val="0"/>
          <w:numId w:val="2"/>
        </w:numPr>
        <w:spacing w:after="60" w:line="340" w:lineRule="auto"/>
      </w:pPr>
      <w:r>
        <w:rPr>
          <w:rFonts w:ascii="宋体" w:hAnsi="宋体" w:eastAsia="宋体" w:cs="宋体"/>
          <w:sz w:val="24"/>
          <w:szCs w:val="24"/>
        </w:rPr>
        <w:t>绘制一座典型屯堡四合院的平面图，标注各功能空间。</w:t>
      </w:r>
    </w:p>
    <w:p w14:paraId="07E651EB">
      <w:pPr>
        <w:pStyle w:val="19"/>
        <w:numPr>
          <w:ilvl w:val="0"/>
          <w:numId w:val="2"/>
        </w:numPr>
        <w:spacing w:after="60" w:line="340" w:lineRule="auto"/>
      </w:pPr>
      <w:r>
        <w:rPr>
          <w:rFonts w:ascii="宋体" w:hAnsi="宋体" w:eastAsia="宋体" w:cs="宋体"/>
          <w:sz w:val="24"/>
          <w:szCs w:val="24"/>
        </w:rPr>
        <w:t>地戏面具的色彩有何象征意义？请举例说明。</w:t>
      </w:r>
    </w:p>
    <w:p w14:paraId="25CC7A51">
      <w:pPr>
        <w:pStyle w:val="19"/>
        <w:numPr>
          <w:ilvl w:val="0"/>
          <w:numId w:val="2"/>
        </w:numPr>
        <w:spacing w:after="60" w:line="340" w:lineRule="auto"/>
      </w:pPr>
      <w:r>
        <w:rPr>
          <w:rFonts w:ascii="宋体" w:hAnsi="宋体" w:eastAsia="宋体" w:cs="宋体"/>
          <w:sz w:val="24"/>
          <w:szCs w:val="24"/>
        </w:rPr>
        <w:t>试比较屯堡饮食与江淮饮食的异同。</w:t>
      </w:r>
    </w:p>
    <w:p w14:paraId="2B1CD78F">
      <w:pPr>
        <w:pStyle w:val="19"/>
        <w:numPr>
          <w:ilvl w:val="0"/>
          <w:numId w:val="2"/>
        </w:numPr>
        <w:spacing w:after="60" w:line="340" w:lineRule="auto"/>
      </w:pPr>
      <w:r>
        <w:rPr>
          <w:rFonts w:ascii="宋体" w:hAnsi="宋体" w:eastAsia="宋体" w:cs="宋体"/>
          <w:sz w:val="24"/>
          <w:szCs w:val="24"/>
        </w:rPr>
        <w:t>田野调查：采访一位屯堡老人，记录10个屯堡话词汇并标注读音和释义。</w:t>
      </w:r>
    </w:p>
    <w:p w14:paraId="3B61714D">
      <w:pPr>
        <w:pStyle w:val="19"/>
        <w:numPr>
          <w:ilvl w:val="0"/>
          <w:numId w:val="2"/>
        </w:numPr>
        <w:spacing w:after="60" w:line="340" w:lineRule="auto"/>
      </w:pPr>
      <w:r>
        <w:rPr>
          <w:rFonts w:ascii="宋体" w:hAnsi="宋体" w:eastAsia="宋体" w:cs="宋体"/>
          <w:sz w:val="24"/>
          <w:szCs w:val="24"/>
        </w:rPr>
        <w:t>"抬汪公"仪式在屯堡社区中承担了哪些社会功能？</w:t>
      </w:r>
    </w:p>
    <w:p w14:paraId="55568D6F">
      <w:pPr>
        <w:pStyle w:val="3"/>
        <w:spacing w:before="300" w:after="200"/>
      </w:pPr>
      <w:bookmarkStart w:id="54" w:name="_Toc24951"/>
      <w:r>
        <w:rPr>
          <w:rFonts w:ascii="黑体" w:hAnsi="黑体" w:eastAsia="黑体" w:cs="黑体"/>
          <w:b/>
          <w:bCs/>
          <w:color w:val="000000"/>
          <w:sz w:val="28"/>
          <w:szCs w:val="28"/>
        </w:rPr>
        <w:t>知识卡片：地戏面具色彩象征</w:t>
      </w:r>
      <w:bookmarkEnd w:id="5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3C57E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8BA6F85">
            <w:pPr>
              <w:spacing w:after="0"/>
            </w:pPr>
            <w:r>
              <w:rPr>
                <w:rFonts w:ascii="宋体" w:hAnsi="宋体" w:eastAsia="宋体" w:cs="宋体"/>
                <w:b/>
                <w:bCs/>
                <w:color w:val="FFFFFF"/>
                <w:sz w:val="20"/>
                <w:szCs w:val="20"/>
              </w:rPr>
              <w:t>色彩</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7EE84F8">
            <w:pPr>
              <w:spacing w:after="0"/>
            </w:pPr>
            <w:r>
              <w:rPr>
                <w:rFonts w:ascii="宋体" w:hAnsi="宋体" w:eastAsia="宋体" w:cs="宋体"/>
                <w:b/>
                <w:bCs/>
                <w:color w:val="FFFFFF"/>
                <w:sz w:val="20"/>
                <w:szCs w:val="20"/>
              </w:rPr>
              <w:t>象征</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E8FCE92">
            <w:pPr>
              <w:spacing w:after="0"/>
            </w:pPr>
            <w:r>
              <w:rPr>
                <w:rFonts w:ascii="宋体" w:hAnsi="宋体" w:eastAsia="宋体" w:cs="宋体"/>
                <w:b/>
                <w:bCs/>
                <w:color w:val="FFFFFF"/>
                <w:sz w:val="20"/>
                <w:szCs w:val="20"/>
              </w:rPr>
              <w:t>代表角色</w:t>
            </w:r>
          </w:p>
        </w:tc>
      </w:tr>
      <w:tr w14:paraId="73CB1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0474CC">
            <w:pPr>
              <w:spacing w:after="0"/>
            </w:pPr>
            <w:r>
              <w:rPr>
                <w:rFonts w:ascii="宋体" w:hAnsi="宋体" w:eastAsia="宋体" w:cs="宋体"/>
                <w:sz w:val="20"/>
                <w:szCs w:val="20"/>
              </w:rPr>
              <w:t>红色</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4E59E5">
            <w:pPr>
              <w:spacing w:after="0"/>
            </w:pPr>
            <w:r>
              <w:rPr>
                <w:rFonts w:ascii="宋体" w:hAnsi="宋体" w:eastAsia="宋体" w:cs="宋体"/>
                <w:sz w:val="20"/>
                <w:szCs w:val="20"/>
              </w:rPr>
              <w:t>忠勇刚烈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C04AF8">
            <w:pPr>
              <w:spacing w:after="0"/>
            </w:pPr>
            <w:r>
              <w:rPr>
                <w:rFonts w:ascii="宋体" w:hAnsi="宋体" w:eastAsia="宋体" w:cs="宋体"/>
                <w:sz w:val="20"/>
                <w:szCs w:val="20"/>
              </w:rPr>
              <w:t>关羽、薛仁贵</w:t>
            </w:r>
          </w:p>
        </w:tc>
      </w:tr>
      <w:tr w14:paraId="4A0C1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AE9815">
            <w:pPr>
              <w:spacing w:after="0"/>
            </w:pPr>
            <w:r>
              <w:rPr>
                <w:rFonts w:ascii="宋体" w:hAnsi="宋体" w:eastAsia="宋体" w:cs="宋体"/>
                <w:sz w:val="20"/>
                <w:szCs w:val="20"/>
              </w:rPr>
              <w:t>黑色</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F616CD">
            <w:pPr>
              <w:spacing w:after="0"/>
            </w:pPr>
            <w:r>
              <w:rPr>
                <w:rFonts w:ascii="宋体" w:hAnsi="宋体" w:eastAsia="宋体" w:cs="宋体"/>
                <w:sz w:val="20"/>
                <w:szCs w:val="20"/>
              </w:rPr>
              <w:t>刚正勇猛</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6537923">
            <w:pPr>
              <w:spacing w:after="0"/>
            </w:pPr>
            <w:r>
              <w:rPr>
                <w:rFonts w:ascii="宋体" w:hAnsi="宋体" w:eastAsia="宋体" w:cs="宋体"/>
                <w:sz w:val="20"/>
                <w:szCs w:val="20"/>
              </w:rPr>
              <w:t>张飞、李逵</w:t>
            </w:r>
          </w:p>
        </w:tc>
      </w:tr>
      <w:tr w14:paraId="352B2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7CA544">
            <w:pPr>
              <w:spacing w:after="0"/>
            </w:pPr>
            <w:r>
              <w:rPr>
                <w:rFonts w:ascii="宋体" w:hAnsi="宋体" w:eastAsia="宋体" w:cs="宋体"/>
                <w:sz w:val="20"/>
                <w:szCs w:val="20"/>
              </w:rPr>
              <w:t>白色</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861A46">
            <w:pPr>
              <w:spacing w:after="0"/>
            </w:pPr>
            <w:r>
              <w:rPr>
                <w:rFonts w:ascii="宋体" w:hAnsi="宋体" w:eastAsia="宋体" w:cs="宋体"/>
                <w:sz w:val="20"/>
                <w:szCs w:val="20"/>
              </w:rPr>
              <w:t>奸诈阴险</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7FAAD2">
            <w:pPr>
              <w:spacing w:after="0"/>
            </w:pPr>
            <w:r>
              <w:rPr>
                <w:rFonts w:ascii="宋体" w:hAnsi="宋体" w:eastAsia="宋体" w:cs="宋体"/>
                <w:sz w:val="20"/>
                <w:szCs w:val="20"/>
              </w:rPr>
              <w:t>曹操、潘仁美</w:t>
            </w:r>
          </w:p>
        </w:tc>
      </w:tr>
      <w:tr w14:paraId="0F779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70D342">
            <w:pPr>
              <w:spacing w:after="0"/>
            </w:pPr>
            <w:r>
              <w:rPr>
                <w:rFonts w:ascii="宋体" w:hAnsi="宋体" w:eastAsia="宋体" w:cs="宋体"/>
                <w:sz w:val="20"/>
                <w:szCs w:val="20"/>
              </w:rPr>
              <w:t>蓝色</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AB09A4E">
            <w:pPr>
              <w:spacing w:after="0"/>
            </w:pPr>
            <w:r>
              <w:rPr>
                <w:rFonts w:ascii="宋体" w:hAnsi="宋体" w:eastAsia="宋体" w:cs="宋体"/>
                <w:sz w:val="20"/>
                <w:szCs w:val="20"/>
              </w:rPr>
              <w:t>勇武桀骜</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8560279">
            <w:pPr>
              <w:spacing w:after="0"/>
            </w:pPr>
            <w:r>
              <w:rPr>
                <w:rFonts w:ascii="宋体" w:hAnsi="宋体" w:eastAsia="宋体" w:cs="宋体"/>
                <w:sz w:val="20"/>
                <w:szCs w:val="20"/>
              </w:rPr>
              <w:t>单雄信、窦尔敦</w:t>
            </w:r>
          </w:p>
        </w:tc>
      </w:tr>
      <w:tr w14:paraId="1D6D8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FBC22D">
            <w:pPr>
              <w:spacing w:after="0"/>
            </w:pPr>
            <w:r>
              <w:rPr>
                <w:rFonts w:ascii="宋体" w:hAnsi="宋体" w:eastAsia="宋体" w:cs="宋体"/>
                <w:sz w:val="20"/>
                <w:szCs w:val="20"/>
              </w:rPr>
              <w:t>绿色</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F78484">
            <w:pPr>
              <w:spacing w:after="0"/>
            </w:pPr>
            <w:r>
              <w:rPr>
                <w:rFonts w:ascii="宋体" w:hAnsi="宋体" w:eastAsia="宋体" w:cs="宋体"/>
                <w:sz w:val="20"/>
                <w:szCs w:val="20"/>
              </w:rPr>
              <w:t>侠义豪爽</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6BEE2FD">
            <w:pPr>
              <w:spacing w:after="0"/>
            </w:pPr>
            <w:r>
              <w:rPr>
                <w:rFonts w:ascii="宋体" w:hAnsi="宋体" w:eastAsia="宋体" w:cs="宋体"/>
                <w:sz w:val="20"/>
                <w:szCs w:val="20"/>
              </w:rPr>
              <w:t>程咬金</w:t>
            </w:r>
          </w:p>
        </w:tc>
      </w:tr>
      <w:tr w14:paraId="6D906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D7C59B">
            <w:pPr>
              <w:spacing w:after="0"/>
            </w:pPr>
            <w:r>
              <w:rPr>
                <w:rFonts w:ascii="宋体" w:hAnsi="宋体" w:eastAsia="宋体" w:cs="宋体"/>
                <w:sz w:val="20"/>
                <w:szCs w:val="20"/>
              </w:rPr>
              <w:t>金色</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EEC240">
            <w:pPr>
              <w:spacing w:after="0"/>
            </w:pPr>
            <w:r>
              <w:rPr>
                <w:rFonts w:ascii="宋体" w:hAnsi="宋体" w:eastAsia="宋体" w:cs="宋体"/>
                <w:sz w:val="20"/>
                <w:szCs w:val="20"/>
              </w:rPr>
              <w:t>神仙帝王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EF8260">
            <w:pPr>
              <w:spacing w:after="0"/>
            </w:pPr>
            <w:r>
              <w:rPr>
                <w:rFonts w:ascii="宋体" w:hAnsi="宋体" w:eastAsia="宋体" w:cs="宋体"/>
                <w:sz w:val="20"/>
                <w:szCs w:val="20"/>
              </w:rPr>
              <w:t>玉皇大帝、唐太宗</w:t>
            </w:r>
          </w:p>
        </w:tc>
      </w:tr>
    </w:tbl>
    <w:p w14:paraId="326F0671">
      <w:r>
        <w:br w:type="page"/>
      </w:r>
    </w:p>
    <w:p w14:paraId="03F12958">
      <w:pPr>
        <w:pStyle w:val="2"/>
        <w:spacing w:before="400" w:after="200"/>
      </w:pPr>
      <w:bookmarkStart w:id="55" w:name="_Toc26895"/>
      <w:r>
        <w:rPr>
          <w:rFonts w:ascii="黑体" w:hAnsi="黑体" w:eastAsia="黑体" w:cs="黑体"/>
          <w:b/>
          <w:bCs/>
          <w:color w:val="1F4E79"/>
          <w:sz w:val="32"/>
          <w:szCs w:val="32"/>
        </w:rPr>
        <w:t>第 3 章  屯堡文化的当代价值</w:t>
      </w:r>
      <w:bookmarkEnd w:id="55"/>
    </w:p>
    <w:p w14:paraId="4D4CDB23">
      <w:pPr>
        <w:pStyle w:val="3"/>
        <w:spacing w:before="300" w:after="200"/>
      </w:pPr>
      <w:bookmarkStart w:id="56" w:name="_Toc12893"/>
      <w:r>
        <w:rPr>
          <w:rFonts w:ascii="黑体" w:hAnsi="黑体" w:eastAsia="黑体" w:cs="黑体"/>
          <w:b/>
          <w:bCs/>
          <w:color w:val="000000"/>
          <w:sz w:val="28"/>
          <w:szCs w:val="28"/>
        </w:rPr>
        <w:t>学习目标</w:t>
      </w:r>
      <w:bookmarkEnd w:id="56"/>
    </w:p>
    <w:p w14:paraId="3DB1CA0D">
      <w:pPr>
        <w:pStyle w:val="19"/>
        <w:numPr>
          <w:ilvl w:val="0"/>
          <w:numId w:val="1"/>
        </w:numPr>
        <w:spacing w:after="60" w:line="340" w:lineRule="auto"/>
      </w:pPr>
      <w:r>
        <w:rPr>
          <w:rFonts w:ascii="宋体" w:hAnsi="宋体" w:eastAsia="宋体" w:cs="宋体"/>
          <w:sz w:val="24"/>
          <w:szCs w:val="24"/>
        </w:rPr>
        <w:t>理解文化遗产的多重价值评估框架</w:t>
      </w:r>
    </w:p>
    <w:p w14:paraId="69EA7F77">
      <w:pPr>
        <w:pStyle w:val="19"/>
        <w:numPr>
          <w:ilvl w:val="0"/>
          <w:numId w:val="1"/>
        </w:numPr>
        <w:spacing w:after="60" w:line="340" w:lineRule="auto"/>
      </w:pPr>
      <w:r>
        <w:rPr>
          <w:rFonts w:ascii="宋体" w:hAnsi="宋体" w:eastAsia="宋体" w:cs="宋体"/>
          <w:sz w:val="24"/>
          <w:szCs w:val="24"/>
        </w:rPr>
        <w:t>掌握屯堡文化的历史价值、艺术价值、科学价值</w:t>
      </w:r>
    </w:p>
    <w:p w14:paraId="37BBB462">
      <w:pPr>
        <w:pStyle w:val="19"/>
        <w:numPr>
          <w:ilvl w:val="0"/>
          <w:numId w:val="1"/>
        </w:numPr>
        <w:spacing w:after="60" w:line="340" w:lineRule="auto"/>
      </w:pPr>
      <w:r>
        <w:rPr>
          <w:rFonts w:ascii="宋体" w:hAnsi="宋体" w:eastAsia="宋体" w:cs="宋体"/>
          <w:sz w:val="24"/>
          <w:szCs w:val="24"/>
        </w:rPr>
        <w:t>分析屯堡文化在当代旅游经济中的转化路径</w:t>
      </w:r>
    </w:p>
    <w:p w14:paraId="72B547EC">
      <w:pPr>
        <w:pStyle w:val="19"/>
        <w:numPr>
          <w:ilvl w:val="0"/>
          <w:numId w:val="1"/>
        </w:numPr>
        <w:spacing w:after="60" w:line="340" w:lineRule="auto"/>
      </w:pPr>
      <w:r>
        <w:rPr>
          <w:rFonts w:ascii="宋体" w:hAnsi="宋体" w:eastAsia="宋体" w:cs="宋体"/>
          <w:sz w:val="24"/>
          <w:szCs w:val="24"/>
        </w:rPr>
        <w:t>认识屯堡文化在铸牢中华民族共同体意识中的意义</w:t>
      </w:r>
    </w:p>
    <w:p w14:paraId="05A0849E">
      <w:pPr>
        <w:pStyle w:val="19"/>
        <w:numPr>
          <w:ilvl w:val="0"/>
          <w:numId w:val="1"/>
        </w:numPr>
        <w:spacing w:after="60" w:line="340" w:lineRule="auto"/>
      </w:pPr>
      <w:r>
        <w:rPr>
          <w:rFonts w:ascii="宋体" w:hAnsi="宋体" w:eastAsia="宋体" w:cs="宋体"/>
          <w:sz w:val="24"/>
          <w:szCs w:val="24"/>
        </w:rPr>
        <w:t>理解"固态保护"与"活态传承"的辩证关系</w:t>
      </w:r>
    </w:p>
    <w:p w14:paraId="6E44416A">
      <w:pPr>
        <w:pStyle w:val="3"/>
        <w:spacing w:before="300" w:after="200"/>
      </w:pPr>
      <w:bookmarkStart w:id="57" w:name="_Toc17638"/>
      <w:r>
        <w:rPr>
          <w:rFonts w:ascii="黑体" w:hAnsi="黑体" w:eastAsia="黑体" w:cs="黑体"/>
          <w:b/>
          <w:bCs/>
          <w:color w:val="000000"/>
          <w:sz w:val="28"/>
          <w:szCs w:val="28"/>
        </w:rPr>
        <w:t>导入案例：从"空心村"到"网红村"</w:t>
      </w:r>
      <w:bookmarkEnd w:id="57"/>
    </w:p>
    <w:p w14:paraId="7A2BD142">
      <w:pPr>
        <w:spacing w:after="120" w:line="360" w:lineRule="auto"/>
        <w:jc w:val="both"/>
      </w:pPr>
      <w:r>
        <w:rPr>
          <w:rFonts w:ascii="宋体" w:hAnsi="宋体" w:eastAsia="宋体" w:cs="宋体"/>
          <w:sz w:val="24"/>
          <w:szCs w:val="24"/>
        </w:rPr>
        <w:t>2010年的本寨，年轻人外出务工，老宅空置，石板路上长出了青苔。村民们担心，再过二十年，这个六百年的古村就会变成"空心村"。2026年的本寨，情况已经完全不同。古建筑修缮一新，研学团队络绎不绝，抖音上关于本寨的视频播放量超过5000万次。一位返乡创业的年轻人陈波说："以前觉得老房子是包袱，现在才知道这是宝贝。"</w:t>
      </w:r>
    </w:p>
    <w:p w14:paraId="6D906B16">
      <w:pPr>
        <w:spacing w:after="120" w:line="360" w:lineRule="auto"/>
        <w:jc w:val="both"/>
      </w:pPr>
      <w:r>
        <w:rPr>
          <w:rFonts w:ascii="宋体" w:hAnsi="宋体" w:eastAsia="宋体" w:cs="宋体"/>
          <w:sz w:val="24"/>
          <w:szCs w:val="24"/>
        </w:rPr>
        <w:t>本寨的转变，折射出屯堡文化从"沉睡的资源"到"活化的资产"的历程。这个历程的关键，在于重新发现和定义屯堡文化的当代价值。</w:t>
      </w:r>
    </w:p>
    <w:p w14:paraId="2F8EDFD2">
      <w:pPr>
        <w:pStyle w:val="3"/>
        <w:spacing w:before="300" w:after="200"/>
      </w:pPr>
      <w:bookmarkStart w:id="58" w:name="_Toc21981"/>
      <w:r>
        <w:rPr>
          <w:rFonts w:ascii="黑体" w:hAnsi="黑体" w:eastAsia="黑体" w:cs="黑体"/>
          <w:b/>
          <w:bCs/>
          <w:color w:val="000000"/>
          <w:sz w:val="28"/>
          <w:szCs w:val="28"/>
        </w:rPr>
        <w:t>3.1 文化遗产价值评估框架</w:t>
      </w:r>
      <w:bookmarkEnd w:id="58"/>
    </w:p>
    <w:p w14:paraId="532E7366">
      <w:pPr>
        <w:pStyle w:val="4"/>
        <w:spacing w:before="300" w:after="200"/>
      </w:pPr>
      <w:bookmarkStart w:id="59" w:name="_Toc19823"/>
      <w:r>
        <w:rPr>
          <w:rFonts w:ascii="黑体" w:hAnsi="黑体" w:eastAsia="黑体" w:cs="黑体"/>
          <w:b/>
          <w:bCs/>
          <w:color w:val="000000"/>
          <w:sz w:val="26"/>
          <w:szCs w:val="26"/>
        </w:rPr>
        <w:t>3.1.1 世界遗产的价值标准</w:t>
      </w:r>
      <w:bookmarkEnd w:id="59"/>
    </w:p>
    <w:p w14:paraId="60FF6227">
      <w:pPr>
        <w:spacing w:after="120" w:line="360" w:lineRule="auto"/>
        <w:jc w:val="both"/>
      </w:pPr>
      <w:r>
        <w:rPr>
          <w:rFonts w:ascii="宋体" w:hAnsi="宋体" w:eastAsia="宋体" w:cs="宋体"/>
          <w:sz w:val="24"/>
          <w:szCs w:val="24"/>
        </w:rPr>
        <w:t>联合国教科文组织《保护世界文化和自然遗产公约》将文化遗产的价值归纳为六条标准：人类创造性的杰作；建筑或技术的重要交流；文明的独特见证；建筑或景观的杰出范例；传统人类居住地的杰出范例；与具有突出普遍意义的事件或传统的关联。</w:t>
      </w:r>
    </w:p>
    <w:p w14:paraId="6154E01C">
      <w:pPr>
        <w:spacing w:after="120" w:line="360" w:lineRule="auto"/>
        <w:jc w:val="both"/>
      </w:pPr>
      <w:r>
        <w:rPr>
          <w:rFonts w:ascii="宋体" w:hAnsi="宋体" w:eastAsia="宋体" w:cs="宋体"/>
          <w:sz w:val="24"/>
          <w:szCs w:val="24"/>
        </w:rPr>
        <w:t>屯堡文化至少符合其中四条标准——它是明代军事移民与西南边疆开发的独特见证（标准三），是传统军事聚落的杰出范例（标准五），屯堡建筑体现了汉族军事建筑与西南少数民族建筑的技术交流（标准二），地戏与明代军傩传统直接关联（标准六）。</w:t>
      </w:r>
    </w:p>
    <w:p w14:paraId="0E70DC49">
      <w:pPr>
        <w:pStyle w:val="4"/>
        <w:spacing w:before="300" w:after="200"/>
      </w:pPr>
      <w:bookmarkStart w:id="60" w:name="_Toc6854"/>
      <w:r>
        <w:rPr>
          <w:rFonts w:ascii="黑体" w:hAnsi="黑体" w:eastAsia="黑体" w:cs="黑体"/>
          <w:b/>
          <w:bCs/>
          <w:color w:val="000000"/>
          <w:sz w:val="26"/>
          <w:szCs w:val="26"/>
        </w:rPr>
        <w:t>3.1.2 中国文物保护的价值观</w:t>
      </w:r>
      <w:bookmarkEnd w:id="60"/>
    </w:p>
    <w:p w14:paraId="0E2AD186">
      <w:pPr>
        <w:spacing w:after="120" w:line="360" w:lineRule="auto"/>
        <w:jc w:val="both"/>
      </w:pPr>
      <w:r>
        <w:rPr>
          <w:rFonts w:ascii="宋体" w:hAnsi="宋体" w:eastAsia="宋体" w:cs="宋体"/>
          <w:sz w:val="24"/>
          <w:szCs w:val="24"/>
        </w:rPr>
        <w:t>中国《文物保护法》将文物的价值概括为历史价值、艺术价值和科学价值三大类。历史价值指文物作为历史见证的意义；艺术价值指文物在造型、色彩、构图等方面的审美价值；科学价值指文物所蕴含的科学技术信息。</w:t>
      </w:r>
    </w:p>
    <w:p w14:paraId="5C726C33">
      <w:pPr>
        <w:spacing w:after="120" w:line="360" w:lineRule="auto"/>
        <w:jc w:val="both"/>
      </w:pPr>
      <w:r>
        <w:rPr>
          <w:rFonts w:ascii="宋体" w:hAnsi="宋体" w:eastAsia="宋体" w:cs="宋体"/>
          <w:sz w:val="24"/>
          <w:szCs w:val="24"/>
        </w:rPr>
        <w:t>这一框架同样适用于屯堡文化。屯堡的历史价值体现在它是明初西南经略的活态证据；艺术价值体现在地戏表演、建筑雕刻、服饰刺绣等艺术形式中；科学价值体现在鲍家屯古水利工程、屯堡建筑的石木结构技术等方面。</w:t>
      </w:r>
    </w:p>
    <w:p w14:paraId="0B158FAB">
      <w:pPr>
        <w:pStyle w:val="4"/>
        <w:spacing w:before="300" w:after="200"/>
      </w:pPr>
      <w:bookmarkStart w:id="61" w:name="_Toc15434"/>
      <w:r>
        <w:rPr>
          <w:rFonts w:ascii="黑体" w:hAnsi="黑体" w:eastAsia="黑体" w:cs="黑体"/>
          <w:b/>
          <w:bCs/>
          <w:color w:val="000000"/>
          <w:sz w:val="26"/>
          <w:szCs w:val="26"/>
        </w:rPr>
        <w:t>3.1.3 非物质文化遗产的价值维度</w:t>
      </w:r>
      <w:bookmarkEnd w:id="61"/>
    </w:p>
    <w:p w14:paraId="4A2B8A2B">
      <w:pPr>
        <w:spacing w:after="120" w:line="360" w:lineRule="auto"/>
        <w:jc w:val="both"/>
      </w:pPr>
      <w:r>
        <w:rPr>
          <w:rFonts w:ascii="宋体" w:hAnsi="宋体" w:eastAsia="宋体" w:cs="宋体"/>
          <w:sz w:val="24"/>
          <w:szCs w:val="24"/>
        </w:rPr>
        <w:t>2003年联合国教科文组织《保护非物质文化遗产公约》强调，非遗的价值不仅在于其表现形式本身，更在于它"为社区和群体提供认同感和持续感"。这意味着非遗价值的核心是"对谁有价值"——对传承主体（社区）的价值。</w:t>
      </w:r>
    </w:p>
    <w:p w14:paraId="0C25D6ED">
      <w:pPr>
        <w:spacing w:after="120" w:line="360" w:lineRule="auto"/>
        <w:jc w:val="both"/>
      </w:pPr>
      <w:r>
        <w:rPr>
          <w:rFonts w:ascii="宋体" w:hAnsi="宋体" w:eastAsia="宋体" w:cs="宋体"/>
          <w:sz w:val="24"/>
          <w:szCs w:val="24"/>
        </w:rPr>
        <w:t>这一视角对理解屯堡文化的当代价值至关重要。屯堡文化的首要价值不在于它对游客、学者、政府有什么意义，而在于它对屯堡人自身意味着什么——它是屯堡人安身立命的精神家园，是他们定义"我们是谁"的文化根基。</w:t>
      </w:r>
    </w:p>
    <w:p w14:paraId="0D45A8CA">
      <w:pPr>
        <w:pStyle w:val="3"/>
        <w:spacing w:before="300" w:after="200"/>
      </w:pPr>
      <w:bookmarkStart w:id="62" w:name="_Toc2585"/>
      <w:r>
        <w:rPr>
          <w:rFonts w:ascii="黑体" w:hAnsi="黑体" w:eastAsia="黑体" w:cs="黑体"/>
          <w:b/>
          <w:bCs/>
          <w:color w:val="000000"/>
          <w:sz w:val="28"/>
          <w:szCs w:val="28"/>
        </w:rPr>
        <w:t>3.2 屯堡文化的历史价值</w:t>
      </w:r>
      <w:bookmarkEnd w:id="62"/>
    </w:p>
    <w:p w14:paraId="11A25ECD">
      <w:pPr>
        <w:pStyle w:val="4"/>
        <w:spacing w:before="300" w:after="200"/>
      </w:pPr>
      <w:bookmarkStart w:id="63" w:name="_Toc23754"/>
      <w:r>
        <w:rPr>
          <w:rFonts w:ascii="黑体" w:hAnsi="黑体" w:eastAsia="黑体" w:cs="黑体"/>
          <w:b/>
          <w:bCs/>
          <w:color w:val="000000"/>
          <w:sz w:val="26"/>
          <w:szCs w:val="26"/>
        </w:rPr>
        <w:t>3.2.1 明代军事制度的活态证据</w:t>
      </w:r>
      <w:bookmarkEnd w:id="63"/>
    </w:p>
    <w:p w14:paraId="682DFCC8">
      <w:pPr>
        <w:spacing w:after="120" w:line="360" w:lineRule="auto"/>
        <w:jc w:val="both"/>
      </w:pPr>
      <w:r>
        <w:rPr>
          <w:rFonts w:ascii="宋体" w:hAnsi="宋体" w:eastAsia="宋体" w:cs="宋体"/>
          <w:sz w:val="24"/>
          <w:szCs w:val="24"/>
        </w:rPr>
        <w:t>屯堡是明代卫所制度在西南地区的直接产物，为研究明代军事史和边疆治理提供了独一无二的活态证据。正史和方志中关于卫所制度的记载是"骨骼"，而屯堡的聚落格局、建筑遗存、民俗传统则是"血肉"。二者相互印证，构成了对明代军事制度的完整理解。</w:t>
      </w:r>
    </w:p>
    <w:p w14:paraId="06227E61">
      <w:pPr>
        <w:spacing w:after="120" w:line="360" w:lineRule="auto"/>
        <w:jc w:val="both"/>
      </w:pPr>
      <w:r>
        <w:rPr>
          <w:rFonts w:ascii="宋体" w:hAnsi="宋体" w:eastAsia="宋体" w:cs="宋体"/>
          <w:sz w:val="24"/>
          <w:szCs w:val="24"/>
        </w:rPr>
        <w:t>例如，通过屯堡村寨的分布规律，可以还原明代滇黔驿道的走向和驿站位置；通过屯堡建筑的防御设计，可以了解明代军事工程的技术水平；通过屯堡人的家谱和口述史，可以追踪明初移民的来源和迁徙路线。</w:t>
      </w:r>
    </w:p>
    <w:p w14:paraId="2041025E">
      <w:pPr>
        <w:pStyle w:val="4"/>
        <w:spacing w:before="300" w:after="200"/>
      </w:pPr>
      <w:bookmarkStart w:id="64" w:name="_Toc30411"/>
      <w:r>
        <w:rPr>
          <w:rFonts w:ascii="黑体" w:hAnsi="黑体" w:eastAsia="黑体" w:cs="黑体"/>
          <w:b/>
          <w:bCs/>
          <w:color w:val="000000"/>
          <w:sz w:val="26"/>
          <w:szCs w:val="26"/>
        </w:rPr>
        <w:t>3.2.2 汉族移民史的关键样本</w:t>
      </w:r>
      <w:bookmarkEnd w:id="64"/>
    </w:p>
    <w:p w14:paraId="4971E66A">
      <w:pPr>
        <w:spacing w:after="120" w:line="360" w:lineRule="auto"/>
        <w:jc w:val="both"/>
      </w:pPr>
      <w:r>
        <w:rPr>
          <w:rFonts w:ascii="宋体" w:hAnsi="宋体" w:eastAsia="宋体" w:cs="宋体"/>
          <w:sz w:val="24"/>
          <w:szCs w:val="24"/>
        </w:rPr>
        <w:t>屯堡是研究中国历史上汉族向西南地区大规模移民的关键样本。明初"调北征南"是中国历史上规模最大、组织最严密的一次军事移民之一，三十万大军及其家属从江淮地区迁入西南，对西南地区的民族格局和文化生态产生了深远影响。</w:t>
      </w:r>
    </w:p>
    <w:p w14:paraId="08495A34">
      <w:pPr>
        <w:spacing w:after="120" w:line="360" w:lineRule="auto"/>
        <w:jc w:val="both"/>
      </w:pPr>
      <w:r>
        <w:rPr>
          <w:rFonts w:ascii="宋体" w:hAnsi="宋体" w:eastAsia="宋体" w:cs="宋体"/>
          <w:sz w:val="24"/>
          <w:szCs w:val="24"/>
        </w:rPr>
        <w:t>屯堡文化保存的"江淮基因"，为移民史研究提供了难得的"追踪标记"。通过对比屯堡方言与江淮方言、屯堡饮食与江淮饮食、屯堡习俗与江淮习俗，可以追溯六百年来文化传承与变迁的轨迹。</w:t>
      </w:r>
    </w:p>
    <w:p w14:paraId="095F7CA3">
      <w:pPr>
        <w:pStyle w:val="4"/>
        <w:spacing w:before="300" w:after="200"/>
      </w:pPr>
      <w:bookmarkStart w:id="65" w:name="_Toc24381"/>
      <w:r>
        <w:rPr>
          <w:rFonts w:ascii="黑体" w:hAnsi="黑体" w:eastAsia="黑体" w:cs="黑体"/>
          <w:b/>
          <w:bCs/>
          <w:color w:val="000000"/>
          <w:sz w:val="26"/>
          <w:szCs w:val="26"/>
        </w:rPr>
        <w:t>3.2.3 民族交往交流交融的生动范例</w:t>
      </w:r>
      <w:bookmarkEnd w:id="65"/>
    </w:p>
    <w:p w14:paraId="07B954A0">
      <w:pPr>
        <w:spacing w:after="120" w:line="360" w:lineRule="auto"/>
        <w:jc w:val="both"/>
      </w:pPr>
      <w:r>
        <w:rPr>
          <w:rFonts w:ascii="宋体" w:hAnsi="宋体" w:eastAsia="宋体" w:cs="宋体"/>
          <w:sz w:val="24"/>
          <w:szCs w:val="24"/>
        </w:rPr>
        <w:t>屯堡文化在保持汉文化核心特征的同时，也吸收了大量西南少数民族文化元素。屯堡人的刺绣图案中融入了苗族、布依族的纹样；屯堡饮食中的辣椒和酸汤来自当地少数民族的饮食习惯；地戏在表演形式上吸收了贵州傩戏的某些元素。</w:t>
      </w:r>
    </w:p>
    <w:p w14:paraId="2BBFDC09">
      <w:pPr>
        <w:spacing w:after="120" w:line="360" w:lineRule="auto"/>
        <w:jc w:val="both"/>
      </w:pPr>
      <w:r>
        <w:rPr>
          <w:rFonts w:ascii="宋体" w:hAnsi="宋体" w:eastAsia="宋体" w:cs="宋体"/>
          <w:sz w:val="24"/>
          <w:szCs w:val="24"/>
        </w:rPr>
        <w:t>这种文化交融不是一方同化另一方，而是在保持各自核心特质基础上的双向借鉴。屯堡文化因而成为研究中华民族交往交流交融史的生动范例，对理解"多元一体"的中华民族格局具有重要的学术价值。</w:t>
      </w:r>
    </w:p>
    <w:p w14:paraId="2CF10FEB">
      <w:pPr>
        <w:pStyle w:val="3"/>
        <w:spacing w:before="300" w:after="200"/>
      </w:pPr>
      <w:bookmarkStart w:id="66" w:name="_Toc31862"/>
      <w:r>
        <w:rPr>
          <w:rFonts w:ascii="黑体" w:hAnsi="黑体" w:eastAsia="黑体" w:cs="黑体"/>
          <w:b/>
          <w:bCs/>
          <w:color w:val="000000"/>
          <w:sz w:val="28"/>
          <w:szCs w:val="28"/>
        </w:rPr>
        <w:t>3.3 屯堡文化的艺术价值</w:t>
      </w:r>
      <w:bookmarkEnd w:id="66"/>
    </w:p>
    <w:p w14:paraId="2CC99B8C">
      <w:pPr>
        <w:pStyle w:val="4"/>
        <w:spacing w:before="300" w:after="200"/>
      </w:pPr>
      <w:bookmarkStart w:id="67" w:name="_Toc29518"/>
      <w:r>
        <w:rPr>
          <w:rFonts w:ascii="黑体" w:hAnsi="黑体" w:eastAsia="黑体" w:cs="黑体"/>
          <w:b/>
          <w:bCs/>
          <w:color w:val="000000"/>
          <w:sz w:val="26"/>
          <w:szCs w:val="26"/>
        </w:rPr>
        <w:t>3.3.1 地戏的艺术独特性</w:t>
      </w:r>
      <w:bookmarkEnd w:id="67"/>
    </w:p>
    <w:p w14:paraId="0C114211">
      <w:pPr>
        <w:spacing w:after="120" w:line="360" w:lineRule="auto"/>
        <w:jc w:val="both"/>
      </w:pPr>
      <w:r>
        <w:rPr>
          <w:rFonts w:ascii="宋体" w:hAnsi="宋体" w:eastAsia="宋体" w:cs="宋体"/>
          <w:sz w:val="24"/>
          <w:szCs w:val="24"/>
        </w:rPr>
        <w:t>安顺地戏在世界戏剧史上占有独特地位。与京剧、昆曲等以生旦净末丑分类的戏曲不同，地戏以古代战争为唯一题材；与日本能乐、希腊面具戏剧等世界面具戏剧相比，地戏的面具雕刻技艺和表演程式自成体系。</w:t>
      </w:r>
    </w:p>
    <w:p w14:paraId="60451392">
      <w:pPr>
        <w:spacing w:after="120" w:line="360" w:lineRule="auto"/>
        <w:jc w:val="both"/>
      </w:pPr>
      <w:r>
        <w:rPr>
          <w:rFonts w:ascii="宋体" w:hAnsi="宋体" w:eastAsia="宋体" w:cs="宋体"/>
          <w:sz w:val="24"/>
          <w:szCs w:val="24"/>
        </w:rPr>
        <w:t>地戏面具本身即为珍贵的民间艺术品。每一面地戏面具都是木雕艺人手工雕刻的孤品，融合了雕塑、彩绘、髹漆等多种工艺。面具的表情夸张而不失细腻，色彩浓烈而不失和谐，具有很高的艺术鉴赏价值。</w:t>
      </w:r>
    </w:p>
    <w:p w14:paraId="60CFC9A4">
      <w:pPr>
        <w:pStyle w:val="4"/>
        <w:spacing w:before="300" w:after="200"/>
      </w:pPr>
      <w:bookmarkStart w:id="68" w:name="_Toc27819"/>
      <w:r>
        <w:rPr>
          <w:rFonts w:ascii="黑体" w:hAnsi="黑体" w:eastAsia="黑体" w:cs="黑体"/>
          <w:b/>
          <w:bCs/>
          <w:color w:val="000000"/>
          <w:sz w:val="26"/>
          <w:szCs w:val="26"/>
        </w:rPr>
        <w:t>3.3.2 屯堡建筑的美学特征</w:t>
      </w:r>
      <w:bookmarkEnd w:id="68"/>
    </w:p>
    <w:p w14:paraId="1854AA4A">
      <w:pPr>
        <w:spacing w:after="120" w:line="360" w:lineRule="auto"/>
        <w:jc w:val="both"/>
      </w:pPr>
      <w:r>
        <w:rPr>
          <w:rFonts w:ascii="宋体" w:hAnsi="宋体" w:eastAsia="宋体" w:cs="宋体"/>
          <w:sz w:val="24"/>
          <w:szCs w:val="24"/>
        </w:rPr>
        <w:t>屯堡建筑的美学特征可概括为"质朴雄浑，外刚内秀"。从外部看，石墙石瓦、碉楼耸立，给人以坚固厚重之感；进入内部，木雕花窗、石雕柱础、砖雕门楼，处处体现着江南民居的精致优雅。</w:t>
      </w:r>
    </w:p>
    <w:p w14:paraId="000EC3D9">
      <w:pPr>
        <w:spacing w:after="120" w:line="360" w:lineRule="auto"/>
        <w:jc w:val="both"/>
      </w:pPr>
      <w:r>
        <w:rPr>
          <w:rFonts w:ascii="宋体" w:hAnsi="宋体" w:eastAsia="宋体" w:cs="宋体"/>
          <w:sz w:val="24"/>
          <w:szCs w:val="24"/>
        </w:rPr>
        <w:t>这种"外刚内秀"的美学特征与屯堡人的双重身份——军人和农民——高度吻合。对外，他们是镇守边疆的军人，需要坚固的防御；对内，他们是从江淮来的移民，眷恋着故土的精致生活。</w:t>
      </w:r>
    </w:p>
    <w:p w14:paraId="4BF45E26">
      <w:pPr>
        <w:pStyle w:val="4"/>
        <w:spacing w:before="300" w:after="200"/>
      </w:pPr>
      <w:bookmarkStart w:id="69" w:name="_Toc19092"/>
      <w:r>
        <w:rPr>
          <w:rFonts w:ascii="黑体" w:hAnsi="黑体" w:eastAsia="黑体" w:cs="黑体"/>
          <w:b/>
          <w:bCs/>
          <w:color w:val="000000"/>
          <w:sz w:val="26"/>
          <w:szCs w:val="26"/>
        </w:rPr>
        <w:t>3.3.3 屯堡服饰与刺绣艺术</w:t>
      </w:r>
      <w:bookmarkEnd w:id="69"/>
    </w:p>
    <w:p w14:paraId="1FCE782F">
      <w:pPr>
        <w:spacing w:after="120" w:line="360" w:lineRule="auto"/>
        <w:jc w:val="both"/>
      </w:pPr>
      <w:r>
        <w:rPr>
          <w:rFonts w:ascii="宋体" w:hAnsi="宋体" w:eastAsia="宋体" w:cs="宋体"/>
          <w:sz w:val="24"/>
          <w:szCs w:val="24"/>
        </w:rPr>
        <w:t>屯堡妇女的服饰刺绣融合了苏绣的细腻和西南少数民族刺绣的粗犷。鞋面上的花草纹、腰带上的几何纹、衣襟上的如意纹，每一针每一线都承载着文化记忆。特别是丝头系腰的编织工艺，数百根丝线在手指间交错缠绕，编出精美的图案，堪称民间工艺的精品。</w:t>
      </w:r>
    </w:p>
    <w:p w14:paraId="0C209100">
      <w:pPr>
        <w:pStyle w:val="3"/>
        <w:spacing w:before="300" w:after="200"/>
      </w:pPr>
      <w:bookmarkStart w:id="70" w:name="_Toc26568"/>
      <w:r>
        <w:rPr>
          <w:rFonts w:ascii="黑体" w:hAnsi="黑体" w:eastAsia="黑体" w:cs="黑体"/>
          <w:b/>
          <w:bCs/>
          <w:color w:val="000000"/>
          <w:sz w:val="28"/>
          <w:szCs w:val="28"/>
        </w:rPr>
        <w:t>3.4 屯堡文化的科学价值</w:t>
      </w:r>
      <w:bookmarkEnd w:id="70"/>
    </w:p>
    <w:p w14:paraId="7BF79D3D">
      <w:pPr>
        <w:pStyle w:val="4"/>
        <w:spacing w:before="300" w:after="200"/>
      </w:pPr>
      <w:bookmarkStart w:id="71" w:name="_Toc27793"/>
      <w:r>
        <w:rPr>
          <w:rFonts w:ascii="黑体" w:hAnsi="黑体" w:eastAsia="黑体" w:cs="黑体"/>
          <w:b/>
          <w:bCs/>
          <w:color w:val="000000"/>
          <w:sz w:val="26"/>
          <w:szCs w:val="26"/>
        </w:rPr>
        <w:t>3.4.1 古水利工程的科学智慧</w:t>
      </w:r>
      <w:bookmarkEnd w:id="71"/>
    </w:p>
    <w:p w14:paraId="7FB087A7">
      <w:pPr>
        <w:spacing w:after="120" w:line="360" w:lineRule="auto"/>
        <w:jc w:val="both"/>
      </w:pPr>
      <w:r>
        <w:rPr>
          <w:rFonts w:ascii="宋体" w:hAnsi="宋体" w:eastAsia="宋体" w:cs="宋体"/>
          <w:sz w:val="24"/>
          <w:szCs w:val="24"/>
        </w:rPr>
        <w:t>鲍家屯古水利系统是屯堡文化科学价值的集中体现。该系统充分利用自然地势，通过拦河坝、引水渠、分水闸的精密配合，实现了对水资源的科学调配。水利专家研究发现，鲍家屯水利系统的设计理念与现代水利工程的"水资源综合利用"原则高度吻合，体现了屯堡人高超的水利智慧。</w:t>
      </w:r>
    </w:p>
    <w:p w14:paraId="0F1C1003">
      <w:pPr>
        <w:spacing w:after="120" w:line="360" w:lineRule="auto"/>
        <w:jc w:val="both"/>
      </w:pPr>
      <w:r>
        <w:rPr>
          <w:rFonts w:ascii="宋体" w:hAnsi="宋体" w:eastAsia="宋体" w:cs="宋体"/>
          <w:sz w:val="24"/>
          <w:szCs w:val="24"/>
        </w:rPr>
        <w:t>该系统自明代建成以来持续运行六百余年，至今仍灌溉着鲍家屯千余亩农田，是可持续水利工程的典范。其"道法自然、顺势而为"的设计哲学，对当代水利工程建设和生态文明建设具有借鉴意义。</w:t>
      </w:r>
    </w:p>
    <w:p w14:paraId="659D935D">
      <w:pPr>
        <w:pStyle w:val="4"/>
        <w:spacing w:before="300" w:after="200"/>
      </w:pPr>
      <w:bookmarkStart w:id="72" w:name="_Toc1400"/>
      <w:r>
        <w:rPr>
          <w:rFonts w:ascii="黑体" w:hAnsi="黑体" w:eastAsia="黑体" w:cs="黑体"/>
          <w:b/>
          <w:bCs/>
          <w:color w:val="000000"/>
          <w:sz w:val="26"/>
          <w:szCs w:val="26"/>
        </w:rPr>
        <w:t>3.4.2 石木建筑的技术体系</w:t>
      </w:r>
      <w:bookmarkEnd w:id="72"/>
    </w:p>
    <w:p w14:paraId="39CDDA48">
      <w:pPr>
        <w:spacing w:after="120" w:line="360" w:lineRule="auto"/>
        <w:jc w:val="both"/>
      </w:pPr>
      <w:r>
        <w:rPr>
          <w:rFonts w:ascii="宋体" w:hAnsi="宋体" w:eastAsia="宋体" w:cs="宋体"/>
          <w:sz w:val="24"/>
          <w:szCs w:val="24"/>
        </w:rPr>
        <w:t>屯堡建筑的石木结构技术体系具有独特的科学价值。片石干砌技术——不施泥浆，仅靠石片之间的咬合和重力维持墙体稳定——是屯堡工匠的独创。这种技术既适应了喀斯特地区的气候条件（透气防潮），又满足了抗震需求（石墙有一定柔性）。</w:t>
      </w:r>
    </w:p>
    <w:p w14:paraId="0C299D36">
      <w:pPr>
        <w:spacing w:after="120" w:line="360" w:lineRule="auto"/>
        <w:jc w:val="both"/>
      </w:pPr>
      <w:r>
        <w:rPr>
          <w:rFonts w:ascii="宋体" w:hAnsi="宋体" w:eastAsia="宋体" w:cs="宋体"/>
          <w:sz w:val="24"/>
          <w:szCs w:val="24"/>
        </w:rPr>
        <w:t>木构架的榫卯技术同样值得研究。屯堡工匠在有限的木材条件下，通过巧妙的榫卯设计实现了大跨度的空间覆盖。这些技术经验对于现代乡土建筑设计和传统建筑修缮具有重要的参考价值。</w:t>
      </w:r>
    </w:p>
    <w:p w14:paraId="5B959607">
      <w:pPr>
        <w:pStyle w:val="4"/>
        <w:spacing w:before="300" w:after="200"/>
      </w:pPr>
      <w:bookmarkStart w:id="73" w:name="_Toc20394"/>
      <w:r>
        <w:rPr>
          <w:rFonts w:ascii="黑体" w:hAnsi="黑体" w:eastAsia="黑体" w:cs="黑体"/>
          <w:b/>
          <w:bCs/>
          <w:color w:val="000000"/>
          <w:sz w:val="26"/>
          <w:szCs w:val="26"/>
        </w:rPr>
        <w:t>3.4.3 农业文化遗产价值</w:t>
      </w:r>
      <w:bookmarkEnd w:id="73"/>
    </w:p>
    <w:p w14:paraId="680B3F67">
      <w:pPr>
        <w:spacing w:after="120" w:line="360" w:lineRule="auto"/>
        <w:jc w:val="both"/>
      </w:pPr>
      <w:r>
        <w:rPr>
          <w:rFonts w:ascii="宋体" w:hAnsi="宋体" w:eastAsia="宋体" w:cs="宋体"/>
          <w:sz w:val="24"/>
          <w:szCs w:val="24"/>
        </w:rPr>
        <w:t>屯堡地区保存了完整的明代农耕体系，包括作物品种、农具、耕作技术和农业管理制度。特别是屯堡的稻作文化——从引水灌溉到插秧收割、从晒谷碾米到酿酒腌菜——构成了一套完整的农业文化遗产体系。鲍家屯古水利系统与稻作文化的结合，使其成为继浙江青田稻鱼共生系统、云南红河哈尼梯田之后，中国又一极具价值的农业文化遗产。</w:t>
      </w:r>
    </w:p>
    <w:p w14:paraId="0B21AD11">
      <w:pPr>
        <w:pStyle w:val="3"/>
        <w:spacing w:before="300" w:after="200"/>
      </w:pPr>
      <w:bookmarkStart w:id="74" w:name="_Toc21072"/>
      <w:r>
        <w:rPr>
          <w:rFonts w:ascii="黑体" w:hAnsi="黑体" w:eastAsia="黑体" w:cs="黑体"/>
          <w:b/>
          <w:bCs/>
          <w:color w:val="000000"/>
          <w:sz w:val="28"/>
          <w:szCs w:val="28"/>
        </w:rPr>
        <w:t>3.5 屯堡文化的经济价值</w:t>
      </w:r>
      <w:bookmarkEnd w:id="74"/>
    </w:p>
    <w:p w14:paraId="02E80840">
      <w:pPr>
        <w:pStyle w:val="4"/>
        <w:spacing w:before="300" w:after="200"/>
      </w:pPr>
      <w:bookmarkStart w:id="75" w:name="_Toc1760"/>
      <w:r>
        <w:rPr>
          <w:rFonts w:ascii="黑体" w:hAnsi="黑体" w:eastAsia="黑体" w:cs="黑体"/>
          <w:b/>
          <w:bCs/>
          <w:color w:val="000000"/>
          <w:sz w:val="26"/>
          <w:szCs w:val="26"/>
        </w:rPr>
        <w:t>3.5.1 文化旅游的核心资源</w:t>
      </w:r>
      <w:bookmarkEnd w:id="75"/>
    </w:p>
    <w:p w14:paraId="1E3E8364">
      <w:pPr>
        <w:spacing w:after="120" w:line="360" w:lineRule="auto"/>
        <w:jc w:val="both"/>
      </w:pPr>
      <w:r>
        <w:rPr>
          <w:rFonts w:ascii="宋体" w:hAnsi="宋体" w:eastAsia="宋体" w:cs="宋体"/>
          <w:sz w:val="24"/>
          <w:szCs w:val="24"/>
        </w:rPr>
        <w:t>屯堡文化是安顺乃至贵州文化旅游的核心资源之一。天龙屯堡景区年接待游客超过100万人次，本寨、云山屯、旧州古镇等地的旅游热度持续攀升。屯堡文化旅游不仅带来了门票收入，更带动了餐饮、住宿、交通、文创等相关产业的发展。</w:t>
      </w:r>
    </w:p>
    <w:p w14:paraId="01CB467B">
      <w:pPr>
        <w:spacing w:after="120" w:line="360" w:lineRule="auto"/>
        <w:jc w:val="both"/>
      </w:pPr>
      <w:r>
        <w:rPr>
          <w:rFonts w:ascii="宋体" w:hAnsi="宋体" w:eastAsia="宋体" w:cs="宋体"/>
          <w:sz w:val="24"/>
          <w:szCs w:val="24"/>
        </w:rPr>
        <w:t>2026年，以"促文旅体融合·乐享旅居生活"为主题的第二十届贵州旅游产业发展大会上，屯堡作为贵州文旅融合发展的重要阵地受到重点关注，"屯堡旅居"成为贵州旅游的新名片。</w:t>
      </w:r>
    </w:p>
    <w:p w14:paraId="52409C64">
      <w:pPr>
        <w:pStyle w:val="4"/>
        <w:spacing w:before="300" w:after="200"/>
      </w:pPr>
      <w:bookmarkStart w:id="76" w:name="_Toc21276"/>
      <w:r>
        <w:rPr>
          <w:rFonts w:ascii="黑体" w:hAnsi="黑体" w:eastAsia="黑体" w:cs="黑体"/>
          <w:b/>
          <w:bCs/>
          <w:color w:val="000000"/>
          <w:sz w:val="26"/>
          <w:szCs w:val="26"/>
        </w:rPr>
        <w:t>3.5.2 文创产业的创意源泉</w:t>
      </w:r>
      <w:bookmarkEnd w:id="76"/>
    </w:p>
    <w:p w14:paraId="18E06BBE">
      <w:pPr>
        <w:spacing w:after="120" w:line="360" w:lineRule="auto"/>
        <w:jc w:val="both"/>
      </w:pPr>
      <w:r>
        <w:rPr>
          <w:rFonts w:ascii="宋体" w:hAnsi="宋体" w:eastAsia="宋体" w:cs="宋体"/>
          <w:sz w:val="24"/>
          <w:szCs w:val="24"/>
        </w:rPr>
        <w:t>屯堡文化的视觉元素——地戏面具、凤阳汉装、石头建筑、刺绣纹样——为文创产品开发提供了丰富的创意素材。贵州大学"黔影新生"团队将地戏面具转化为AI动画角色，开发了表情包、盲盒、文创饰品等系列产品，在黄果树景区热销。类似的文创开发案例不断涌现，屯堡文化正在从"文化遗产"转化为"文化资产"。</w:t>
      </w:r>
    </w:p>
    <w:p w14:paraId="33C5B84F">
      <w:pPr>
        <w:pStyle w:val="4"/>
        <w:spacing w:before="300" w:after="200"/>
      </w:pPr>
      <w:bookmarkStart w:id="77" w:name="_Toc4691"/>
      <w:r>
        <w:rPr>
          <w:rFonts w:ascii="黑体" w:hAnsi="黑体" w:eastAsia="黑体" w:cs="黑体"/>
          <w:b/>
          <w:bCs/>
          <w:color w:val="000000"/>
          <w:sz w:val="26"/>
          <w:szCs w:val="26"/>
        </w:rPr>
        <w:t>3.5.3 研学旅行的优质目的地</w:t>
      </w:r>
      <w:bookmarkEnd w:id="77"/>
    </w:p>
    <w:p w14:paraId="33B6DA26">
      <w:pPr>
        <w:spacing w:after="120" w:line="360" w:lineRule="auto"/>
        <w:jc w:val="both"/>
      </w:pPr>
      <w:r>
        <w:rPr>
          <w:rFonts w:ascii="宋体" w:hAnsi="宋体" w:eastAsia="宋体" w:cs="宋体"/>
          <w:sz w:val="24"/>
          <w:szCs w:val="24"/>
        </w:rPr>
        <w:t>屯堡文化的历史深度和体验价值使其成为研学旅行的理想目的地。学生可以在本寨测量古建筑的尺寸、绘制平面图；在鲍家屯考察古水利系统、做水流实验；在地戏传承人的指导下学习面具雕刻和地戏表演。这些体验式学习活动将书本知识与实地考察相结合，具有独特的教育价值。</w:t>
      </w:r>
    </w:p>
    <w:p w14:paraId="3532BF22">
      <w:pPr>
        <w:pStyle w:val="3"/>
        <w:spacing w:before="300" w:after="200"/>
      </w:pPr>
      <w:bookmarkStart w:id="78" w:name="_Toc991"/>
      <w:r>
        <w:rPr>
          <w:rFonts w:ascii="黑体" w:hAnsi="黑体" w:eastAsia="黑体" w:cs="黑体"/>
          <w:b/>
          <w:bCs/>
          <w:color w:val="000000"/>
          <w:sz w:val="28"/>
          <w:szCs w:val="28"/>
        </w:rPr>
        <w:t>3.6 屯堡文化的社会价值</w:t>
      </w:r>
      <w:bookmarkEnd w:id="78"/>
    </w:p>
    <w:p w14:paraId="1DDCE2EB">
      <w:pPr>
        <w:pStyle w:val="4"/>
        <w:spacing w:before="300" w:after="200"/>
      </w:pPr>
      <w:bookmarkStart w:id="79" w:name="_Toc4308"/>
      <w:r>
        <w:rPr>
          <w:rFonts w:ascii="黑体" w:hAnsi="黑体" w:eastAsia="黑体" w:cs="黑体"/>
          <w:b/>
          <w:bCs/>
          <w:color w:val="000000"/>
          <w:sz w:val="26"/>
          <w:szCs w:val="26"/>
        </w:rPr>
        <w:t>3.6.1 铸牢中华民族共同体意识</w:t>
      </w:r>
      <w:bookmarkEnd w:id="79"/>
    </w:p>
    <w:p w14:paraId="00D5981F">
      <w:pPr>
        <w:spacing w:after="120" w:line="360" w:lineRule="auto"/>
        <w:jc w:val="both"/>
      </w:pPr>
      <w:r>
        <w:rPr>
          <w:rFonts w:ascii="宋体" w:hAnsi="宋体" w:eastAsia="宋体" w:cs="宋体"/>
          <w:sz w:val="24"/>
          <w:szCs w:val="24"/>
        </w:rPr>
        <w:t>屯堡文化是中华民族"多元一体"格局的生动见证。六百年前，汉族屯军与西南少数民族在这片土地上相遇、交流、融合，共同开发西南边疆。屯堡文化既是汉族文化在西南边疆的坚守，也是汉族与少数民族文化交融的结晶。挖掘和弘扬屯堡文化中蕴含的民族团结基因，对于铸牢中华民族共同体意识具有重要的现实意义。</w:t>
      </w:r>
    </w:p>
    <w:p w14:paraId="0E87C8DE">
      <w:pPr>
        <w:pStyle w:val="4"/>
        <w:spacing w:before="300" w:after="200"/>
      </w:pPr>
      <w:bookmarkStart w:id="80" w:name="_Toc14233"/>
      <w:r>
        <w:rPr>
          <w:rFonts w:ascii="黑体" w:hAnsi="黑体" w:eastAsia="黑体" w:cs="黑体"/>
          <w:b/>
          <w:bCs/>
          <w:color w:val="000000"/>
          <w:sz w:val="26"/>
          <w:szCs w:val="26"/>
        </w:rPr>
        <w:t>3.6.2 乡村振兴的文化支撑</w:t>
      </w:r>
      <w:bookmarkEnd w:id="80"/>
    </w:p>
    <w:p w14:paraId="013D2569">
      <w:pPr>
        <w:spacing w:after="120" w:line="360" w:lineRule="auto"/>
        <w:jc w:val="both"/>
      </w:pPr>
      <w:r>
        <w:rPr>
          <w:rFonts w:ascii="宋体" w:hAnsi="宋体" w:eastAsia="宋体" w:cs="宋体"/>
          <w:sz w:val="24"/>
          <w:szCs w:val="24"/>
        </w:rPr>
        <w:t>在乡村振兴战略中，屯堡文化提供了独特的文化支撑。屯堡村寨的古建筑、传统技艺、民俗活动是乡村文化振兴的宝贵资源。通过发展文化旅游和文创产业，屯堡村寨正在走出一条"文化引领、产业支撑"的乡村振兴之路。本寨、鲍家屯等村寨的经验表明，文化资源的活化利用可以成为乡村振兴的有效路径。</w:t>
      </w:r>
    </w:p>
    <w:p w14:paraId="4BB4A35A">
      <w:pPr>
        <w:pStyle w:val="4"/>
        <w:spacing w:before="300" w:after="200"/>
      </w:pPr>
      <w:bookmarkStart w:id="81" w:name="_Toc17169"/>
      <w:r>
        <w:rPr>
          <w:rFonts w:ascii="黑体" w:hAnsi="黑体" w:eastAsia="黑体" w:cs="黑体"/>
          <w:b/>
          <w:bCs/>
          <w:color w:val="000000"/>
          <w:sz w:val="26"/>
          <w:szCs w:val="26"/>
        </w:rPr>
        <w:t>3.6.3 文化自信的根基</w:t>
      </w:r>
      <w:bookmarkEnd w:id="81"/>
    </w:p>
    <w:p w14:paraId="232245B3">
      <w:pPr>
        <w:spacing w:after="120" w:line="360" w:lineRule="auto"/>
        <w:jc w:val="both"/>
      </w:pPr>
      <w:r>
        <w:rPr>
          <w:rFonts w:ascii="宋体" w:hAnsi="宋体" w:eastAsia="宋体" w:cs="宋体"/>
          <w:sz w:val="24"/>
          <w:szCs w:val="24"/>
        </w:rPr>
        <w:t>对屯堡人而言，屯堡文化是他们文化自信的根基。当自己的语言、服饰、建筑、戏剧从"落后的旧东西"变成"珍贵的文化遗产"时，屯堡人的文化自信得到了极大提升。这种自信不仅体现在老一辈对传统的坚守，更体现在年轻一代以创新方式传承和传播屯堡文化。</w:t>
      </w:r>
    </w:p>
    <w:p w14:paraId="227FCADF">
      <w:pPr>
        <w:pStyle w:val="3"/>
        <w:spacing w:before="300" w:after="200"/>
      </w:pPr>
      <w:bookmarkStart w:id="82" w:name="_Toc10046"/>
      <w:r>
        <w:rPr>
          <w:rFonts w:ascii="黑体" w:hAnsi="黑体" w:eastAsia="黑体" w:cs="黑体"/>
          <w:b/>
          <w:bCs/>
          <w:color w:val="000000"/>
          <w:sz w:val="28"/>
          <w:szCs w:val="28"/>
        </w:rPr>
        <w:t>3.7 "固态保护"与"活态传承"的辩证关系</w:t>
      </w:r>
      <w:bookmarkEnd w:id="82"/>
    </w:p>
    <w:p w14:paraId="1039247B">
      <w:pPr>
        <w:pStyle w:val="4"/>
        <w:spacing w:before="300" w:after="200"/>
      </w:pPr>
      <w:bookmarkStart w:id="83" w:name="_Toc5413"/>
      <w:r>
        <w:rPr>
          <w:rFonts w:ascii="黑体" w:hAnsi="黑体" w:eastAsia="黑体" w:cs="黑体"/>
          <w:b/>
          <w:bCs/>
          <w:color w:val="000000"/>
          <w:sz w:val="26"/>
          <w:szCs w:val="26"/>
        </w:rPr>
        <w:t>3.7.1 固态保护的基础地位</w:t>
      </w:r>
      <w:bookmarkEnd w:id="83"/>
    </w:p>
    <w:p w14:paraId="472CF0CB">
      <w:pPr>
        <w:spacing w:after="120" w:line="360" w:lineRule="auto"/>
        <w:jc w:val="both"/>
      </w:pPr>
      <w:r>
        <w:rPr>
          <w:rFonts w:ascii="宋体" w:hAnsi="宋体" w:eastAsia="宋体" w:cs="宋体"/>
          <w:sz w:val="24"/>
          <w:szCs w:val="24"/>
        </w:rPr>
        <w:t>固态保护是对屯堡文化遗产的物质载体——古建筑、古水利设施、文物器具等——进行科学的修缮、维护和管理。固态保护是文化遗产保护的基础，没有物质载体的完好保存，活态传承就成了无源之水。</w:t>
      </w:r>
    </w:p>
    <w:p w14:paraId="160FA885">
      <w:pPr>
        <w:spacing w:after="120" w:line="360" w:lineRule="auto"/>
        <w:jc w:val="both"/>
      </w:pPr>
      <w:r>
        <w:rPr>
          <w:rFonts w:ascii="宋体" w:hAnsi="宋体" w:eastAsia="宋体" w:cs="宋体"/>
          <w:sz w:val="24"/>
          <w:szCs w:val="24"/>
        </w:rPr>
        <w:t>安顺市在屯堡建筑保护方面做了大量工作。本寨、云山屯的古建筑群得到了系统修缮，天龙屯堡的沈万三故居完成了保护性修复，鲍家屯古水利系统持续得到维护。这些固态保护工作为屯堡文化的传承提供了坚实的物质基础。</w:t>
      </w:r>
    </w:p>
    <w:p w14:paraId="35535C65">
      <w:pPr>
        <w:pStyle w:val="4"/>
        <w:spacing w:before="300" w:after="200"/>
      </w:pPr>
      <w:bookmarkStart w:id="84" w:name="_Toc12693"/>
      <w:r>
        <w:rPr>
          <w:rFonts w:ascii="黑体" w:hAnsi="黑体" w:eastAsia="黑体" w:cs="黑体"/>
          <w:b/>
          <w:bCs/>
          <w:color w:val="000000"/>
          <w:sz w:val="26"/>
          <w:szCs w:val="26"/>
        </w:rPr>
        <w:t>3.7.2 活态传承的核心地位</w:t>
      </w:r>
      <w:bookmarkEnd w:id="84"/>
    </w:p>
    <w:p w14:paraId="2549BCE4">
      <w:pPr>
        <w:spacing w:after="120" w:line="360" w:lineRule="auto"/>
        <w:jc w:val="both"/>
      </w:pPr>
      <w:r>
        <w:rPr>
          <w:rFonts w:ascii="宋体" w:hAnsi="宋体" w:eastAsia="宋体" w:cs="宋体"/>
          <w:sz w:val="24"/>
          <w:szCs w:val="24"/>
        </w:rPr>
        <w:t>活态传承是指让屯堡文化在当代社会中持续发挥功能，让传统技艺、民俗活动、生活方式在传承中创新发展。与固态保护不同，活态传承关注的是"人"——传承人、社区成员、文化消费者——他们在文化传承中的角色和作用。</w:t>
      </w:r>
    </w:p>
    <w:p w14:paraId="4133B3E8">
      <w:pPr>
        <w:spacing w:after="120" w:line="360" w:lineRule="auto"/>
        <w:jc w:val="both"/>
      </w:pPr>
      <w:r>
        <w:rPr>
          <w:rFonts w:ascii="宋体" w:hAnsi="宋体" w:eastAsia="宋体" w:cs="宋体"/>
          <w:sz w:val="24"/>
          <w:szCs w:val="24"/>
        </w:rPr>
        <w:t>地戏传习所的设立、屯堡服饰制作技艺的培训、屯堡饮食的产业化发展，都是活态传承的具体实践。活态传承的关键在于：让传统文化在现代生活中找到新的定位和功能，使传承成为社区的内生需求而非外部强加的任务。</w:t>
      </w:r>
    </w:p>
    <w:p w14:paraId="31FE1DCE">
      <w:pPr>
        <w:pStyle w:val="4"/>
        <w:spacing w:before="300" w:after="200"/>
      </w:pPr>
      <w:bookmarkStart w:id="85" w:name="_Toc18827"/>
      <w:r>
        <w:rPr>
          <w:rFonts w:ascii="黑体" w:hAnsi="黑体" w:eastAsia="黑体" w:cs="黑体"/>
          <w:b/>
          <w:bCs/>
          <w:color w:val="000000"/>
          <w:sz w:val="26"/>
          <w:szCs w:val="26"/>
        </w:rPr>
        <w:t>3.7.3 二者的辩证统一</w:t>
      </w:r>
      <w:bookmarkEnd w:id="85"/>
    </w:p>
    <w:p w14:paraId="47D40D24">
      <w:pPr>
        <w:spacing w:after="120" w:line="360" w:lineRule="auto"/>
        <w:jc w:val="both"/>
      </w:pPr>
      <w:r>
        <w:rPr>
          <w:rFonts w:ascii="宋体" w:hAnsi="宋体" w:eastAsia="宋体" w:cs="宋体"/>
          <w:sz w:val="24"/>
          <w:szCs w:val="24"/>
        </w:rPr>
        <w:t>固态保护和活态传承不是非此即彼的选择，而是相辅相成的统一体。固态保护为活态传承提供物质空间和载体，活态传承为固态保护赋予文化意义和动力。一座修缮完好的屯堡老宅，如果没有人居住和使用，终究只是博物馆里的展品；而一项活态传承的技艺，如果没有适当的物质空间和设备条件，也难以持续发展。</w:t>
      </w:r>
    </w:p>
    <w:p w14:paraId="0E9D9881">
      <w:pPr>
        <w:spacing w:after="120" w:line="360" w:lineRule="auto"/>
        <w:jc w:val="both"/>
      </w:pPr>
      <w:r>
        <w:rPr>
          <w:rFonts w:ascii="宋体" w:hAnsi="宋体" w:eastAsia="宋体" w:cs="宋体"/>
          <w:sz w:val="24"/>
          <w:szCs w:val="24"/>
        </w:rPr>
        <w:t>安顺市提出的"固态保护+活态传承"双轮驱动模式，正是在这一辩证关系基础上形成的文化遗产保护新理念，为屯堡文化的可持续发展提供了方法论指导。</w:t>
      </w:r>
    </w:p>
    <w:p w14:paraId="7611D8B4">
      <w:pPr>
        <w:pStyle w:val="3"/>
        <w:spacing w:before="300" w:after="200"/>
      </w:pPr>
      <w:bookmarkStart w:id="86" w:name="_Toc6862"/>
      <w:r>
        <w:rPr>
          <w:rFonts w:ascii="黑体" w:hAnsi="黑体" w:eastAsia="黑体" w:cs="黑体"/>
          <w:b/>
          <w:bCs/>
          <w:color w:val="000000"/>
          <w:sz w:val="28"/>
          <w:szCs w:val="28"/>
        </w:rPr>
        <w:t>本章小结</w:t>
      </w:r>
      <w:bookmarkEnd w:id="86"/>
    </w:p>
    <w:p w14:paraId="358DD602">
      <w:pPr>
        <w:spacing w:after="120" w:line="360" w:lineRule="auto"/>
        <w:jc w:val="both"/>
      </w:pPr>
      <w:r>
        <w:rPr>
          <w:rFonts w:ascii="宋体" w:hAnsi="宋体" w:eastAsia="宋体" w:cs="宋体"/>
          <w:sz w:val="24"/>
          <w:szCs w:val="24"/>
        </w:rPr>
        <w:t>屯堡文化的当代价值涵盖历史、艺术、科学、经济和社会五个维度。历史价值体现在它是明代军事制度和汉族移民史的活态证据；艺术价值体现在地戏、建筑、服饰等艺术形式中；科学价值以鲍家屯古水利工程和石木建筑技术为代表；经济价值体现在文化旅游、文创产业和研学旅行中；社会价值则体现为铸牢中华民族共同体意识、推动乡村振兴和增强文化自信。处理"固态保护"与"活态传承"的辩证关系，是屯堡文化可持续发展的关键。</w:t>
      </w:r>
    </w:p>
    <w:p w14:paraId="3AC6668E">
      <w:pPr>
        <w:pStyle w:val="3"/>
        <w:spacing w:before="300" w:after="200"/>
      </w:pPr>
      <w:bookmarkStart w:id="87" w:name="_Toc30915"/>
      <w:r>
        <w:rPr>
          <w:rFonts w:ascii="黑体" w:hAnsi="黑体" w:eastAsia="黑体" w:cs="黑体"/>
          <w:b/>
          <w:bCs/>
          <w:color w:val="000000"/>
          <w:sz w:val="28"/>
          <w:szCs w:val="28"/>
        </w:rPr>
        <w:t>思考与练习</w:t>
      </w:r>
      <w:bookmarkEnd w:id="87"/>
    </w:p>
    <w:p w14:paraId="380A5B7D">
      <w:pPr>
        <w:pStyle w:val="19"/>
        <w:numPr>
          <w:ilvl w:val="0"/>
          <w:numId w:val="2"/>
        </w:numPr>
        <w:spacing w:after="60" w:line="340" w:lineRule="auto"/>
      </w:pPr>
      <w:r>
        <w:rPr>
          <w:rFonts w:ascii="宋体" w:hAnsi="宋体" w:eastAsia="宋体" w:cs="宋体"/>
          <w:sz w:val="24"/>
          <w:szCs w:val="24"/>
        </w:rPr>
        <w:t>运用文化遗产价值评估框架，分析你所在地区某一文化遗产的多重价值。</w:t>
      </w:r>
    </w:p>
    <w:p w14:paraId="5196B725">
      <w:pPr>
        <w:pStyle w:val="19"/>
        <w:numPr>
          <w:ilvl w:val="0"/>
          <w:numId w:val="2"/>
        </w:numPr>
        <w:spacing w:after="60" w:line="340" w:lineRule="auto"/>
      </w:pPr>
      <w:r>
        <w:rPr>
          <w:rFonts w:ascii="宋体" w:hAnsi="宋体" w:eastAsia="宋体" w:cs="宋体"/>
          <w:sz w:val="24"/>
          <w:szCs w:val="24"/>
        </w:rPr>
        <w:t>屯堡文化对铸牢中华民族共同体意识有何意义？</w:t>
      </w:r>
    </w:p>
    <w:p w14:paraId="34DC1333">
      <w:pPr>
        <w:pStyle w:val="19"/>
        <w:numPr>
          <w:ilvl w:val="0"/>
          <w:numId w:val="2"/>
        </w:numPr>
        <w:spacing w:after="60" w:line="340" w:lineRule="auto"/>
      </w:pPr>
      <w:r>
        <w:rPr>
          <w:rFonts w:ascii="宋体" w:hAnsi="宋体" w:eastAsia="宋体" w:cs="宋体"/>
          <w:sz w:val="24"/>
          <w:szCs w:val="24"/>
        </w:rPr>
        <w:t>选择一处屯堡村寨，设计一份文化旅游开发方案。</w:t>
      </w:r>
    </w:p>
    <w:p w14:paraId="7A6BD228">
      <w:pPr>
        <w:pStyle w:val="19"/>
        <w:numPr>
          <w:ilvl w:val="0"/>
          <w:numId w:val="2"/>
        </w:numPr>
        <w:spacing w:after="60" w:line="340" w:lineRule="auto"/>
      </w:pPr>
      <w:r>
        <w:rPr>
          <w:rFonts w:ascii="宋体" w:hAnsi="宋体" w:eastAsia="宋体" w:cs="宋体"/>
          <w:sz w:val="24"/>
          <w:szCs w:val="24"/>
        </w:rPr>
        <w:t>"固态保护"和"活态传承"各有哪些优势和局限？如何实现二者的统一？</w:t>
      </w:r>
    </w:p>
    <w:p w14:paraId="739A934F">
      <w:pPr>
        <w:pStyle w:val="19"/>
        <w:numPr>
          <w:ilvl w:val="0"/>
          <w:numId w:val="2"/>
        </w:numPr>
        <w:spacing w:after="60" w:line="340" w:lineRule="auto"/>
      </w:pPr>
      <w:r>
        <w:rPr>
          <w:rFonts w:ascii="宋体" w:hAnsi="宋体" w:eastAsia="宋体" w:cs="宋体"/>
          <w:sz w:val="24"/>
          <w:szCs w:val="24"/>
        </w:rPr>
        <w:t>评估屯堡文化申报世界文化遗产的可行性和路径。</w:t>
      </w:r>
    </w:p>
    <w:p w14:paraId="0AC031F1">
      <w:pPr>
        <w:pStyle w:val="3"/>
        <w:spacing w:before="300" w:after="200"/>
      </w:pPr>
      <w:bookmarkStart w:id="88" w:name="_Toc21013"/>
      <w:r>
        <w:rPr>
          <w:rFonts w:ascii="黑体" w:hAnsi="黑体" w:eastAsia="黑体" w:cs="黑体"/>
          <w:b/>
          <w:bCs/>
          <w:color w:val="000000"/>
          <w:sz w:val="28"/>
          <w:szCs w:val="28"/>
        </w:rPr>
        <w:t>知识卡片：文化遗产价值评估框架</w:t>
      </w:r>
      <w:bookmarkEnd w:id="88"/>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49047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858C4E6">
            <w:pPr>
              <w:spacing w:after="0"/>
            </w:pPr>
            <w:r>
              <w:rPr>
                <w:rFonts w:ascii="宋体" w:hAnsi="宋体" w:eastAsia="宋体" w:cs="宋体"/>
                <w:b/>
                <w:bCs/>
                <w:color w:val="FFFFFF"/>
                <w:sz w:val="20"/>
                <w:szCs w:val="20"/>
              </w:rPr>
              <w:t>价值类型</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405947C">
            <w:pPr>
              <w:spacing w:after="0"/>
            </w:pPr>
            <w:r>
              <w:rPr>
                <w:rFonts w:ascii="宋体" w:hAnsi="宋体" w:eastAsia="宋体" w:cs="宋体"/>
                <w:b/>
                <w:bCs/>
                <w:color w:val="FFFFFF"/>
                <w:sz w:val="20"/>
                <w:szCs w:val="20"/>
              </w:rPr>
              <w:t>核心问题</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D4532E9">
            <w:pPr>
              <w:spacing w:after="0"/>
            </w:pPr>
            <w:r>
              <w:rPr>
                <w:rFonts w:ascii="宋体" w:hAnsi="宋体" w:eastAsia="宋体" w:cs="宋体"/>
                <w:b/>
                <w:bCs/>
                <w:color w:val="FFFFFF"/>
                <w:sz w:val="20"/>
                <w:szCs w:val="20"/>
              </w:rPr>
              <w:t>屯堡文化示例</w:t>
            </w:r>
          </w:p>
        </w:tc>
      </w:tr>
      <w:tr w14:paraId="5757C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AFFDB8">
            <w:pPr>
              <w:spacing w:after="0"/>
            </w:pPr>
            <w:r>
              <w:rPr>
                <w:rFonts w:ascii="宋体" w:hAnsi="宋体" w:eastAsia="宋体" w:cs="宋体"/>
                <w:sz w:val="20"/>
                <w:szCs w:val="20"/>
              </w:rPr>
              <w:t>历史价值</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514994">
            <w:pPr>
              <w:spacing w:after="0"/>
            </w:pPr>
            <w:r>
              <w:rPr>
                <w:rFonts w:ascii="宋体" w:hAnsi="宋体" w:eastAsia="宋体" w:cs="宋体"/>
                <w:sz w:val="20"/>
                <w:szCs w:val="20"/>
              </w:rPr>
              <w:t>见证了怎样的历史？</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3EF657">
            <w:pPr>
              <w:spacing w:after="0"/>
            </w:pPr>
            <w:r>
              <w:rPr>
                <w:rFonts w:ascii="宋体" w:hAnsi="宋体" w:eastAsia="宋体" w:cs="宋体"/>
                <w:sz w:val="20"/>
                <w:szCs w:val="20"/>
              </w:rPr>
              <w:t>明初西南经略、汉族移民史</w:t>
            </w:r>
          </w:p>
        </w:tc>
      </w:tr>
      <w:tr w14:paraId="6620E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6C5A43">
            <w:pPr>
              <w:spacing w:after="0"/>
            </w:pPr>
            <w:r>
              <w:rPr>
                <w:rFonts w:ascii="宋体" w:hAnsi="宋体" w:eastAsia="宋体" w:cs="宋体"/>
                <w:sz w:val="20"/>
                <w:szCs w:val="20"/>
              </w:rPr>
              <w:t>艺术价值</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0B7BFA">
            <w:pPr>
              <w:spacing w:after="0"/>
            </w:pPr>
            <w:r>
              <w:rPr>
                <w:rFonts w:ascii="宋体" w:hAnsi="宋体" w:eastAsia="宋体" w:cs="宋体"/>
                <w:sz w:val="20"/>
                <w:szCs w:val="20"/>
              </w:rPr>
              <w:t>具有怎样的审美特征？</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C567BA">
            <w:pPr>
              <w:spacing w:after="0"/>
            </w:pPr>
            <w:r>
              <w:rPr>
                <w:rFonts w:ascii="宋体" w:hAnsi="宋体" w:eastAsia="宋体" w:cs="宋体"/>
                <w:sz w:val="20"/>
                <w:szCs w:val="20"/>
              </w:rPr>
              <w:t>地戏面具雕刻、建筑石雕木雕</w:t>
            </w:r>
          </w:p>
        </w:tc>
      </w:tr>
      <w:tr w14:paraId="10919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C80EBB">
            <w:pPr>
              <w:spacing w:after="0"/>
            </w:pPr>
            <w:r>
              <w:rPr>
                <w:rFonts w:ascii="宋体" w:hAnsi="宋体" w:eastAsia="宋体" w:cs="宋体"/>
                <w:sz w:val="20"/>
                <w:szCs w:val="20"/>
              </w:rPr>
              <w:t>科学价值</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B70EE8">
            <w:pPr>
              <w:spacing w:after="0"/>
            </w:pPr>
            <w:r>
              <w:rPr>
                <w:rFonts w:ascii="宋体" w:hAnsi="宋体" w:eastAsia="宋体" w:cs="宋体"/>
                <w:sz w:val="20"/>
                <w:szCs w:val="20"/>
              </w:rPr>
              <w:t>蕴含了怎样的科技知识？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A6784E">
            <w:pPr>
              <w:spacing w:after="0"/>
            </w:pPr>
            <w:r>
              <w:rPr>
                <w:rFonts w:ascii="宋体" w:hAnsi="宋体" w:eastAsia="宋体" w:cs="宋体"/>
                <w:sz w:val="20"/>
                <w:szCs w:val="20"/>
              </w:rPr>
              <w:t>鲍家屯古水利工程、石木建筑技术</w:t>
            </w:r>
          </w:p>
        </w:tc>
      </w:tr>
      <w:tr w14:paraId="58AA4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837A232">
            <w:pPr>
              <w:spacing w:after="0"/>
            </w:pPr>
            <w:r>
              <w:rPr>
                <w:rFonts w:ascii="宋体" w:hAnsi="宋体" w:eastAsia="宋体" w:cs="宋体"/>
                <w:sz w:val="20"/>
                <w:szCs w:val="20"/>
              </w:rPr>
              <w:t>经济价值</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1A17A8">
            <w:pPr>
              <w:spacing w:after="0"/>
            </w:pPr>
            <w:r>
              <w:rPr>
                <w:rFonts w:ascii="宋体" w:hAnsi="宋体" w:eastAsia="宋体" w:cs="宋体"/>
                <w:sz w:val="20"/>
                <w:szCs w:val="20"/>
              </w:rPr>
              <w:t>如何转化为经济资源？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02D000">
            <w:pPr>
              <w:spacing w:after="0"/>
            </w:pPr>
            <w:r>
              <w:rPr>
                <w:rFonts w:ascii="宋体" w:hAnsi="宋体" w:eastAsia="宋体" w:cs="宋体"/>
                <w:sz w:val="20"/>
                <w:szCs w:val="20"/>
              </w:rPr>
              <w:t>文化旅游、文创产业、研学旅行</w:t>
            </w:r>
          </w:p>
        </w:tc>
      </w:tr>
      <w:tr w14:paraId="0252A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743C47">
            <w:pPr>
              <w:spacing w:after="0"/>
            </w:pPr>
            <w:r>
              <w:rPr>
                <w:rFonts w:ascii="宋体" w:hAnsi="宋体" w:eastAsia="宋体" w:cs="宋体"/>
                <w:sz w:val="20"/>
                <w:szCs w:val="20"/>
              </w:rPr>
              <w:t>社会价值</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DF10A7">
            <w:pPr>
              <w:spacing w:after="0"/>
            </w:pPr>
            <w:r>
              <w:rPr>
                <w:rFonts w:ascii="宋体" w:hAnsi="宋体" w:eastAsia="宋体" w:cs="宋体"/>
                <w:sz w:val="20"/>
                <w:szCs w:val="20"/>
              </w:rPr>
              <w:t>对社区和社会有何意义？</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E483AE">
            <w:pPr>
              <w:spacing w:after="0"/>
            </w:pPr>
            <w:r>
              <w:rPr>
                <w:rFonts w:ascii="宋体" w:hAnsi="宋体" w:eastAsia="宋体" w:cs="宋体"/>
                <w:sz w:val="20"/>
                <w:szCs w:val="20"/>
              </w:rPr>
              <w:t>文化认同、民族团结、乡村振兴</w:t>
            </w:r>
          </w:p>
        </w:tc>
      </w:tr>
    </w:tbl>
    <w:p w14:paraId="03E1083F">
      <w:r>
        <w:br w:type="page"/>
      </w:r>
    </w:p>
    <w:p w14:paraId="39A2001C">
      <w:pPr>
        <w:pStyle w:val="2"/>
        <w:spacing w:before="400" w:after="200"/>
      </w:pPr>
      <w:bookmarkStart w:id="89" w:name="_Toc29498"/>
      <w:r>
        <w:rPr>
          <w:rFonts w:ascii="黑体" w:hAnsi="黑体" w:eastAsia="黑体" w:cs="黑体"/>
          <w:b/>
          <w:bCs/>
          <w:color w:val="1F4E79"/>
          <w:sz w:val="32"/>
          <w:szCs w:val="32"/>
        </w:rPr>
        <w:t>第 4 章  文化遗产数字化理论与方法</w:t>
      </w:r>
      <w:bookmarkEnd w:id="89"/>
    </w:p>
    <w:p w14:paraId="75EDCEAB">
      <w:pPr>
        <w:pStyle w:val="3"/>
        <w:spacing w:before="300" w:after="200"/>
      </w:pPr>
      <w:bookmarkStart w:id="90" w:name="_Toc13420"/>
      <w:r>
        <w:rPr>
          <w:rFonts w:ascii="黑体" w:hAnsi="黑体" w:eastAsia="黑体" w:cs="黑体"/>
          <w:b/>
          <w:bCs/>
          <w:color w:val="000000"/>
          <w:sz w:val="28"/>
          <w:szCs w:val="28"/>
        </w:rPr>
        <w:t>学习目标</w:t>
      </w:r>
      <w:bookmarkEnd w:id="90"/>
    </w:p>
    <w:p w14:paraId="3BDEFD30">
      <w:pPr>
        <w:pStyle w:val="19"/>
        <w:numPr>
          <w:ilvl w:val="0"/>
          <w:numId w:val="1"/>
        </w:numPr>
        <w:spacing w:after="60" w:line="340" w:lineRule="auto"/>
      </w:pPr>
      <w:r>
        <w:rPr>
          <w:rFonts w:ascii="宋体" w:hAnsi="宋体" w:eastAsia="宋体" w:cs="宋体"/>
          <w:sz w:val="24"/>
          <w:szCs w:val="24"/>
        </w:rPr>
        <w:t>理解文化遗产数字化的基本概念和理论框架</w:t>
      </w:r>
    </w:p>
    <w:p w14:paraId="455F87CC">
      <w:pPr>
        <w:pStyle w:val="19"/>
        <w:numPr>
          <w:ilvl w:val="0"/>
          <w:numId w:val="1"/>
        </w:numPr>
        <w:spacing w:after="60" w:line="340" w:lineRule="auto"/>
      </w:pPr>
      <w:r>
        <w:rPr>
          <w:rFonts w:ascii="宋体" w:hAnsi="宋体" w:eastAsia="宋体" w:cs="宋体"/>
          <w:sz w:val="24"/>
          <w:szCs w:val="24"/>
        </w:rPr>
        <w:t>掌握三维扫描、摄影测量、全景成像等主流数字化采集技术</w:t>
      </w:r>
    </w:p>
    <w:p w14:paraId="2FE74ADC">
      <w:pPr>
        <w:pStyle w:val="19"/>
        <w:numPr>
          <w:ilvl w:val="0"/>
          <w:numId w:val="1"/>
        </w:numPr>
        <w:spacing w:after="60" w:line="340" w:lineRule="auto"/>
      </w:pPr>
      <w:r>
        <w:rPr>
          <w:rFonts w:ascii="宋体" w:hAnsi="宋体" w:eastAsia="宋体" w:cs="宋体"/>
          <w:sz w:val="24"/>
          <w:szCs w:val="24"/>
        </w:rPr>
        <w:t>了解数字孪生、知识图谱、区块链在文化遗产领域的应用原理</w:t>
      </w:r>
    </w:p>
    <w:p w14:paraId="5EB4EEED">
      <w:pPr>
        <w:pStyle w:val="19"/>
        <w:numPr>
          <w:ilvl w:val="0"/>
          <w:numId w:val="1"/>
        </w:numPr>
        <w:spacing w:after="60" w:line="340" w:lineRule="auto"/>
      </w:pPr>
      <w:r>
        <w:rPr>
          <w:rFonts w:ascii="宋体" w:hAnsi="宋体" w:eastAsia="宋体" w:cs="宋体"/>
          <w:sz w:val="24"/>
          <w:szCs w:val="24"/>
        </w:rPr>
        <w:t>熟悉文化遗产数字化的国际标准与最佳实践</w:t>
      </w:r>
    </w:p>
    <w:p w14:paraId="4C5F4177">
      <w:pPr>
        <w:pStyle w:val="19"/>
        <w:numPr>
          <w:ilvl w:val="0"/>
          <w:numId w:val="1"/>
        </w:numPr>
        <w:spacing w:after="60" w:line="340" w:lineRule="auto"/>
      </w:pPr>
      <w:r>
        <w:rPr>
          <w:rFonts w:ascii="宋体" w:hAnsi="宋体" w:eastAsia="宋体" w:cs="宋体"/>
          <w:sz w:val="24"/>
          <w:szCs w:val="24"/>
        </w:rPr>
        <w:t>能够针对屯堡文化遗产设计数字化保护方案</w:t>
      </w:r>
    </w:p>
    <w:p w14:paraId="0D4D668F">
      <w:pPr>
        <w:pStyle w:val="3"/>
        <w:spacing w:before="300" w:after="200"/>
      </w:pPr>
      <w:bookmarkStart w:id="91" w:name="_Toc16163"/>
      <w:r>
        <w:rPr>
          <w:rFonts w:ascii="黑体" w:hAnsi="黑体" w:eastAsia="黑体" w:cs="黑体"/>
          <w:b/>
          <w:bCs/>
          <w:color w:val="000000"/>
          <w:sz w:val="28"/>
          <w:szCs w:val="28"/>
        </w:rPr>
        <w:t>导入案例：云山屯的数字重生</w:t>
      </w:r>
      <w:bookmarkEnd w:id="91"/>
    </w:p>
    <w:p w14:paraId="18791B2D">
      <w:pPr>
        <w:spacing w:after="120" w:line="360" w:lineRule="auto"/>
        <w:jc w:val="both"/>
      </w:pPr>
      <w:r>
        <w:rPr>
          <w:rFonts w:ascii="宋体" w:hAnsi="宋体" w:eastAsia="宋体" w:cs="宋体"/>
          <w:sz w:val="24"/>
          <w:szCs w:val="24"/>
        </w:rPr>
        <w:t>2025年，贵州大学文化遗产数字化团队来到云山屯，用激光扫描仪和无人机对整个村寨进行了为期三个月的全方位数字化采集。团队获取了超过50亿个三维点云数据，拍摄了2万余张高清照片，录制了100余小时的村民口述史。</w:t>
      </w:r>
    </w:p>
    <w:p w14:paraId="7233F9BE">
      <w:pPr>
        <w:spacing w:after="120" w:line="360" w:lineRule="auto"/>
        <w:jc w:val="both"/>
      </w:pPr>
      <w:r>
        <w:rPr>
          <w:rFonts w:ascii="宋体" w:hAnsi="宋体" w:eastAsia="宋体" w:cs="宋体"/>
          <w:sz w:val="24"/>
          <w:szCs w:val="24"/>
        </w:rPr>
        <w:t>这些数据经过处理后，在计算机中"重建"了一个完整的数字云山屯。游客可以在手机端"走进"这个虚拟村寨，放大观看门楼上的木雕细节，进入室内参观已经不对游客开放的私人住宅，甚至"穿越"回明代，看到屯堡初建时的面貌。</w:t>
      </w:r>
    </w:p>
    <w:p w14:paraId="798BB5D4">
      <w:pPr>
        <w:spacing w:after="120" w:line="360" w:lineRule="auto"/>
        <w:jc w:val="both"/>
      </w:pPr>
      <w:r>
        <w:rPr>
          <w:rFonts w:ascii="宋体" w:hAnsi="宋体" w:eastAsia="宋体" w:cs="宋体"/>
          <w:sz w:val="24"/>
          <w:szCs w:val="24"/>
        </w:rPr>
        <w:t>云山屯的数字重生，是文化遗产数字化从理念到实践的生动案例。它回答了一个关键问题：当物理空间的文化遗产面临自然老化和人为破坏的威胁时，数字技术如何为它提供一个"永不消失的备份"？</w:t>
      </w:r>
    </w:p>
    <w:p w14:paraId="1AD04F45">
      <w:pPr>
        <w:pStyle w:val="3"/>
        <w:spacing w:before="300" w:after="200"/>
      </w:pPr>
      <w:bookmarkStart w:id="92" w:name="_Toc16265"/>
      <w:r>
        <w:rPr>
          <w:rFonts w:ascii="黑体" w:hAnsi="黑体" w:eastAsia="黑体" w:cs="黑体"/>
          <w:b/>
          <w:bCs/>
          <w:color w:val="000000"/>
          <w:sz w:val="28"/>
          <w:szCs w:val="28"/>
        </w:rPr>
        <w:t>4.1 文化遗产数字化的基本概念</w:t>
      </w:r>
      <w:bookmarkEnd w:id="92"/>
    </w:p>
    <w:p w14:paraId="5B77709D">
      <w:pPr>
        <w:pStyle w:val="4"/>
        <w:spacing w:before="300" w:after="200"/>
      </w:pPr>
      <w:bookmarkStart w:id="93" w:name="_Toc31334"/>
      <w:r>
        <w:rPr>
          <w:rFonts w:ascii="黑体" w:hAnsi="黑体" w:eastAsia="黑体" w:cs="黑体"/>
          <w:b/>
          <w:bCs/>
          <w:color w:val="000000"/>
          <w:sz w:val="26"/>
          <w:szCs w:val="26"/>
        </w:rPr>
        <w:t>4.1.1 什么是文化遗产数字化</w:t>
      </w:r>
      <w:bookmarkEnd w:id="93"/>
    </w:p>
    <w:p w14:paraId="02967C31">
      <w:pPr>
        <w:spacing w:after="120" w:line="360" w:lineRule="auto"/>
        <w:jc w:val="both"/>
      </w:pPr>
      <w:r>
        <w:rPr>
          <w:rFonts w:ascii="宋体" w:hAnsi="宋体" w:eastAsia="宋体" w:cs="宋体"/>
          <w:sz w:val="24"/>
          <w:szCs w:val="24"/>
        </w:rPr>
        <w:t>文化遗产数字化是指运用数字技术对文化遗产进行采集、存储、处理、展示和传播的全过程。其核心目标是在数字空间中建立文化遗产的完整信息模型，使之能够被永久保存、广泛共享和多元利用。</w:t>
      </w:r>
    </w:p>
    <w:p w14:paraId="0CDED86B">
      <w:pPr>
        <w:spacing w:after="120" w:line="360" w:lineRule="auto"/>
        <w:jc w:val="both"/>
      </w:pPr>
      <w:r>
        <w:rPr>
          <w:rFonts w:ascii="宋体" w:hAnsi="宋体" w:eastAsia="宋体" w:cs="宋体"/>
          <w:sz w:val="24"/>
          <w:szCs w:val="24"/>
        </w:rPr>
        <w:t>文化遗产数字化不等同于简单地"拍照存档"。它是一个系统工程，包括四个层次：数据层——原始数据的采集与存储；模型层——数据到信息的结构化处理；知识层——信息到知识的语义关联；应用层——知识到服务的功能实现。</w:t>
      </w:r>
    </w:p>
    <w:p w14:paraId="3D44418F">
      <w:pPr>
        <w:pStyle w:val="4"/>
        <w:spacing w:before="300" w:after="200"/>
      </w:pPr>
      <w:bookmarkStart w:id="94" w:name="_Toc31895"/>
      <w:r>
        <w:rPr>
          <w:rFonts w:ascii="黑体" w:hAnsi="黑体" w:eastAsia="黑体" w:cs="黑体"/>
          <w:b/>
          <w:bCs/>
          <w:color w:val="000000"/>
          <w:sz w:val="26"/>
          <w:szCs w:val="26"/>
        </w:rPr>
        <w:t>4.1.2 数字化的类型与层次</w:t>
      </w:r>
      <w:bookmarkEnd w:id="94"/>
    </w:p>
    <w:p w14:paraId="644BF7B1">
      <w:pPr>
        <w:spacing w:after="120" w:line="360" w:lineRule="auto"/>
        <w:jc w:val="both"/>
      </w:pPr>
      <w:r>
        <w:rPr>
          <w:rFonts w:ascii="宋体" w:hAnsi="宋体" w:eastAsia="宋体" w:cs="宋体"/>
          <w:sz w:val="24"/>
          <w:szCs w:val="24"/>
        </w:rPr>
        <w:t>按照对象的不同，文化遗产数字化可分为：</w:t>
      </w:r>
    </w:p>
    <w:p w14:paraId="42EEDC27">
      <w:pPr>
        <w:spacing w:after="120" w:line="360" w:lineRule="auto"/>
        <w:jc w:val="both"/>
      </w:pPr>
      <w:r>
        <w:rPr>
          <w:rFonts w:ascii="宋体" w:hAnsi="宋体" w:eastAsia="宋体" w:cs="宋体"/>
          <w:b/>
          <w:bCs/>
          <w:sz w:val="24"/>
          <w:szCs w:val="24"/>
        </w:rPr>
        <w:t>物质文化遗产数字化。</w:t>
      </w:r>
      <w:r>
        <w:rPr>
          <w:rFonts w:ascii="宋体" w:hAnsi="宋体" w:eastAsia="宋体" w:cs="宋体"/>
          <w:sz w:val="24"/>
          <w:szCs w:val="24"/>
        </w:rPr>
        <w:t xml:space="preserve"> 针对建筑、遗址、器物等有形文化遗产，通过三维建模、全景摄影、GIS等技术建立数字档案。例如，对屯堡古建筑进行三维激光扫描，建立毫米级精度的数字模型。</w:t>
      </w:r>
    </w:p>
    <w:p w14:paraId="59B92D64">
      <w:pPr>
        <w:spacing w:after="120" w:line="360" w:lineRule="auto"/>
        <w:jc w:val="both"/>
      </w:pPr>
      <w:r>
        <w:rPr>
          <w:rFonts w:ascii="宋体" w:hAnsi="宋体" w:eastAsia="宋体" w:cs="宋体"/>
          <w:b/>
          <w:bCs/>
          <w:sz w:val="24"/>
          <w:szCs w:val="24"/>
        </w:rPr>
        <w:t>非物质文化遗产数字化。</w:t>
      </w:r>
      <w:r>
        <w:rPr>
          <w:rFonts w:ascii="宋体" w:hAnsi="宋体" w:eastAsia="宋体" w:cs="宋体"/>
          <w:sz w:val="24"/>
          <w:szCs w:val="24"/>
        </w:rPr>
        <w:t xml:space="preserve"> 针对表演艺术、传统技艺、仪式节庆等无形文化遗产，通过视频记录、动作捕捉、音频采集等方式进行数字化保存。例如，让地戏演员穿戴动作捕捉设备，记录每一个身段和招式。</w:t>
      </w:r>
    </w:p>
    <w:p w14:paraId="3E9515E8">
      <w:pPr>
        <w:spacing w:after="120" w:line="360" w:lineRule="auto"/>
        <w:jc w:val="both"/>
      </w:pPr>
      <w:r>
        <w:rPr>
          <w:rFonts w:ascii="宋体" w:hAnsi="宋体" w:eastAsia="宋体" w:cs="宋体"/>
          <w:b/>
          <w:bCs/>
          <w:sz w:val="24"/>
          <w:szCs w:val="24"/>
        </w:rPr>
        <w:t>文献遗产数字化。</w:t>
      </w:r>
      <w:r>
        <w:rPr>
          <w:rFonts w:ascii="宋体" w:hAnsi="宋体" w:eastAsia="宋体" w:cs="宋体"/>
          <w:sz w:val="24"/>
          <w:szCs w:val="24"/>
        </w:rPr>
        <w:t xml:space="preserve"> 针对古籍、档案、家谱等文献类遗产，通过扫描、OCR、文本标注等技术建立数字文献库。</w:t>
      </w:r>
    </w:p>
    <w:p w14:paraId="3B87CE81">
      <w:pPr>
        <w:spacing w:after="120" w:line="360" w:lineRule="auto"/>
        <w:jc w:val="both"/>
      </w:pPr>
      <w:r>
        <w:rPr>
          <w:rFonts w:ascii="宋体" w:hAnsi="宋体" w:eastAsia="宋体" w:cs="宋体"/>
          <w:sz w:val="24"/>
          <w:szCs w:val="24"/>
        </w:rPr>
        <w:t>按照深度的不同，文化遗产数字化可分为：记录级——基本的影像和文字记录；测绘级——具有精确几何信息的空间数据；分析级——可用于学术研究的多维结构化数据；体验级——可用于虚拟展示和交互体验的沉浸式内容。</w:t>
      </w:r>
    </w:p>
    <w:p w14:paraId="48EAD4A0">
      <w:pPr>
        <w:pStyle w:val="4"/>
        <w:spacing w:before="300" w:after="200"/>
      </w:pPr>
      <w:bookmarkStart w:id="95" w:name="_Toc26839"/>
      <w:r>
        <w:rPr>
          <w:rFonts w:ascii="黑体" w:hAnsi="黑体" w:eastAsia="黑体" w:cs="黑体"/>
          <w:b/>
          <w:bCs/>
          <w:color w:val="000000"/>
          <w:sz w:val="26"/>
          <w:szCs w:val="26"/>
        </w:rPr>
        <w:t>4.1.3 数字化的核心价值</w:t>
      </w:r>
      <w:bookmarkEnd w:id="95"/>
    </w:p>
    <w:p w14:paraId="3C78B974">
      <w:pPr>
        <w:spacing w:after="120" w:line="360" w:lineRule="auto"/>
        <w:jc w:val="both"/>
      </w:pPr>
      <w:r>
        <w:rPr>
          <w:rFonts w:ascii="宋体" w:hAnsi="宋体" w:eastAsia="宋体" w:cs="宋体"/>
          <w:sz w:val="24"/>
          <w:szCs w:val="24"/>
        </w:rPr>
        <w:t>文化遗产数字化的核心价值可概括为"四可"：可保存——数字副本不会随时间老化；可访问——数字内容通过互联网全球共享；可分析——数字数据可通过算法进行量化分析和模式识别；可再创造——数字素材可作为新艺术创作和产品开发的原材料。</w:t>
      </w:r>
    </w:p>
    <w:p w14:paraId="22F657D7">
      <w:pPr>
        <w:pStyle w:val="3"/>
        <w:spacing w:before="300" w:after="200"/>
      </w:pPr>
      <w:bookmarkStart w:id="96" w:name="_Toc27145"/>
      <w:r>
        <w:rPr>
          <w:rFonts w:ascii="黑体" w:hAnsi="黑体" w:eastAsia="黑体" w:cs="黑体"/>
          <w:b/>
          <w:bCs/>
          <w:color w:val="000000"/>
          <w:sz w:val="28"/>
          <w:szCs w:val="28"/>
        </w:rPr>
        <w:t>4.2 数字化采集技术</w:t>
      </w:r>
      <w:bookmarkEnd w:id="96"/>
    </w:p>
    <w:p w14:paraId="4B29E344">
      <w:pPr>
        <w:pStyle w:val="4"/>
        <w:spacing w:before="300" w:after="200"/>
      </w:pPr>
      <w:bookmarkStart w:id="97" w:name="_Toc31057"/>
      <w:r>
        <w:rPr>
          <w:rFonts w:ascii="黑体" w:hAnsi="黑体" w:eastAsia="黑体" w:cs="黑体"/>
          <w:b/>
          <w:bCs/>
          <w:color w:val="000000"/>
          <w:sz w:val="26"/>
          <w:szCs w:val="26"/>
        </w:rPr>
        <w:t>4.2.1 三维激光扫描</w:t>
      </w:r>
      <w:bookmarkEnd w:id="97"/>
    </w:p>
    <w:p w14:paraId="732348E5">
      <w:pPr>
        <w:spacing w:after="120" w:line="360" w:lineRule="auto"/>
        <w:jc w:val="both"/>
      </w:pPr>
      <w:r>
        <w:rPr>
          <w:rFonts w:ascii="宋体" w:hAnsi="宋体" w:eastAsia="宋体" w:cs="宋体"/>
          <w:sz w:val="24"/>
          <w:szCs w:val="24"/>
        </w:rPr>
        <w:t>三维激光扫描是获取文化遗产精确三维数据的最主要手段。扫描仪向目标发射激光束，通过测量激光往返时间计算物体表面各点的空间坐标，生成"点云"数据。根据扫描距离的不同，分为地面激光扫描（适用于建筑和遗址）和手持激光扫描（适用于器物和雕刻）。</w:t>
      </w:r>
    </w:p>
    <w:p w14:paraId="60465037">
      <w:pPr>
        <w:spacing w:after="120" w:line="360" w:lineRule="auto"/>
        <w:jc w:val="both"/>
      </w:pPr>
      <w:r>
        <w:rPr>
          <w:rFonts w:ascii="宋体" w:hAnsi="宋体" w:eastAsia="宋体" w:cs="宋体"/>
          <w:sz w:val="24"/>
          <w:szCs w:val="24"/>
        </w:rPr>
        <w:t>三维激光扫描的精度可达毫米级甚至亚毫米级。对于屯堡古建筑而言，这种精度足以记录石墙的每一道纹理、木雕的每一个细节。云山屯的数字化项目使用了地面激光扫描仪，单站扫描半径200米，通过多站拼接覆盖了整个村寨。</w:t>
      </w:r>
    </w:p>
    <w:p w14:paraId="5A54B34C">
      <w:pPr>
        <w:pStyle w:val="4"/>
        <w:spacing w:before="300" w:after="200"/>
      </w:pPr>
      <w:bookmarkStart w:id="98" w:name="_Toc9429"/>
      <w:r>
        <w:rPr>
          <w:rFonts w:ascii="黑体" w:hAnsi="黑体" w:eastAsia="黑体" w:cs="黑体"/>
          <w:b/>
          <w:bCs/>
          <w:color w:val="000000"/>
          <w:sz w:val="26"/>
          <w:szCs w:val="26"/>
        </w:rPr>
        <w:t>4.2.2 摄影测量</w:t>
      </w:r>
      <w:bookmarkEnd w:id="98"/>
    </w:p>
    <w:p w14:paraId="099E8007">
      <w:pPr>
        <w:spacing w:after="120" w:line="360" w:lineRule="auto"/>
        <w:jc w:val="both"/>
      </w:pPr>
      <w:r>
        <w:rPr>
          <w:rFonts w:ascii="宋体" w:hAnsi="宋体" w:eastAsia="宋体" w:cs="宋体"/>
          <w:sz w:val="24"/>
          <w:szCs w:val="24"/>
        </w:rPr>
        <w:t>摄影测量是通过多角度拍摄照片，利用计算机视觉算法从二维影像中重建三维模型的技术。与激光扫描相比，摄影测量的设备成本低（普通数码相机或无人机即可），但精度稍低，适用于大范围、中精度的数字化任务。</w:t>
      </w:r>
    </w:p>
    <w:p w14:paraId="4685B8FE">
      <w:pPr>
        <w:spacing w:after="120" w:line="360" w:lineRule="auto"/>
        <w:jc w:val="both"/>
      </w:pPr>
      <w:r>
        <w:rPr>
          <w:rFonts w:ascii="宋体" w:hAnsi="宋体" w:eastAsia="宋体" w:cs="宋体"/>
          <w:sz w:val="24"/>
          <w:szCs w:val="24"/>
        </w:rPr>
        <w:t>无人机倾斜摄影是摄影测量的重要分支，通过无人机从空中多角度拍摄，获取地物顶面和侧面的影像，生成三维实景模型。对于屯堡村寨的整体空间格局记录，无人机倾斜摄影是最经济高效的手段。</w:t>
      </w:r>
    </w:p>
    <w:p w14:paraId="505537F2">
      <w:pPr>
        <w:pStyle w:val="4"/>
        <w:spacing w:before="300" w:after="200"/>
      </w:pPr>
      <w:bookmarkStart w:id="99" w:name="_Toc8290"/>
      <w:r>
        <w:rPr>
          <w:rFonts w:ascii="黑体" w:hAnsi="黑体" w:eastAsia="黑体" w:cs="黑体"/>
          <w:b/>
          <w:bCs/>
          <w:color w:val="000000"/>
          <w:sz w:val="26"/>
          <w:szCs w:val="26"/>
        </w:rPr>
        <w:t>4.2.3 全景成像</w:t>
      </w:r>
      <w:bookmarkEnd w:id="99"/>
    </w:p>
    <w:p w14:paraId="720B3A7E">
      <w:pPr>
        <w:spacing w:after="120" w:line="360" w:lineRule="auto"/>
        <w:jc w:val="both"/>
      </w:pPr>
      <w:r>
        <w:rPr>
          <w:rFonts w:ascii="宋体" w:hAnsi="宋体" w:eastAsia="宋体" w:cs="宋体"/>
          <w:sz w:val="24"/>
          <w:szCs w:val="24"/>
        </w:rPr>
        <w:t>全景成像是通过多张照片拼接生成360度全景图像的技术，适用于文化遗产的沉浸式展示。全景图像可以嵌入VR头显中，让用户获得身临其境的体验。天龙屯堡景区已经推出了全景导览系统，游客通过手机即可"云游"屯堡。</w:t>
      </w:r>
    </w:p>
    <w:p w14:paraId="633BBECB">
      <w:pPr>
        <w:pStyle w:val="4"/>
        <w:spacing w:before="300" w:after="200"/>
      </w:pPr>
      <w:bookmarkStart w:id="100" w:name="_Toc21726"/>
      <w:r>
        <w:rPr>
          <w:rFonts w:ascii="黑体" w:hAnsi="黑体" w:eastAsia="黑体" w:cs="黑体"/>
          <w:b/>
          <w:bCs/>
          <w:color w:val="000000"/>
          <w:sz w:val="26"/>
          <w:szCs w:val="26"/>
        </w:rPr>
        <w:t>4.2.4 高光谱成像与多光谱成像</w:t>
      </w:r>
      <w:bookmarkEnd w:id="100"/>
    </w:p>
    <w:p w14:paraId="72EEFFB3">
      <w:pPr>
        <w:spacing w:after="120" w:line="360" w:lineRule="auto"/>
        <w:jc w:val="both"/>
      </w:pPr>
      <w:r>
        <w:rPr>
          <w:rFonts w:ascii="宋体" w:hAnsi="宋体" w:eastAsia="宋体" w:cs="宋体"/>
          <w:sz w:val="24"/>
          <w:szCs w:val="24"/>
        </w:rPr>
        <w:t>高光谱成像和多光谱成像通过采集物体在不同波段的反射光谱，获取超越人眼感知范围的信息。这些技术在文物保护领域有重要应用：通过分析颜料的反射光谱，可以识别壁画和彩塑的颜料成分；通过近红外成像，可以辨识褪色或污损的文字和图案。</w:t>
      </w:r>
    </w:p>
    <w:p w14:paraId="487054C3">
      <w:pPr>
        <w:spacing w:after="120" w:line="360" w:lineRule="auto"/>
        <w:jc w:val="both"/>
      </w:pPr>
      <w:r>
        <w:rPr>
          <w:rFonts w:ascii="宋体" w:hAnsi="宋体" w:eastAsia="宋体" w:cs="宋体"/>
          <w:sz w:val="24"/>
          <w:szCs w:val="24"/>
        </w:rPr>
        <w:t>对于屯堡文化遗产而言，高光谱成像可用于分析地戏面具的颜料层叠关系，判断不同时期的上色和修补痕迹，为面具的年代鉴定和修复方案提供科学依据。</w:t>
      </w:r>
    </w:p>
    <w:p w14:paraId="22F16498">
      <w:pPr>
        <w:pStyle w:val="4"/>
        <w:spacing w:before="300" w:after="200"/>
      </w:pPr>
      <w:bookmarkStart w:id="101" w:name="_Toc7602"/>
      <w:r>
        <w:rPr>
          <w:rFonts w:ascii="黑体" w:hAnsi="黑体" w:eastAsia="黑体" w:cs="黑体"/>
          <w:b/>
          <w:bCs/>
          <w:color w:val="000000"/>
          <w:sz w:val="26"/>
          <w:szCs w:val="26"/>
        </w:rPr>
        <w:t>4.2.5 RTI（反射变换成像）</w:t>
      </w:r>
      <w:bookmarkEnd w:id="101"/>
    </w:p>
    <w:p w14:paraId="70EADA3C">
      <w:pPr>
        <w:spacing w:after="120" w:line="360" w:lineRule="auto"/>
        <w:jc w:val="both"/>
      </w:pPr>
      <w:r>
        <w:rPr>
          <w:rFonts w:ascii="宋体" w:hAnsi="宋体" w:eastAsia="宋体" w:cs="宋体"/>
          <w:sz w:val="24"/>
          <w:szCs w:val="24"/>
        </w:rPr>
        <w:t>RTI是一种特殊的计算摄影技术，通过在不同光照方向下拍摄多张照片，合成可交互调节光源方向的数字图像。RTI可以揭示物体表面的微观细节——如石刻的凿痕、木雕的刀法、织物的纹理——这些细节在普通照片中往往难以分辨。</w:t>
      </w:r>
    </w:p>
    <w:p w14:paraId="342696D6">
      <w:pPr>
        <w:pStyle w:val="3"/>
        <w:spacing w:before="300" w:after="200"/>
      </w:pPr>
      <w:bookmarkStart w:id="102" w:name="_Toc15698"/>
      <w:r>
        <w:rPr>
          <w:rFonts w:ascii="黑体" w:hAnsi="黑体" w:eastAsia="黑体" w:cs="黑体"/>
          <w:b/>
          <w:bCs/>
          <w:color w:val="000000"/>
          <w:sz w:val="28"/>
          <w:szCs w:val="28"/>
        </w:rPr>
        <w:t>4.3 数字化处理技术</w:t>
      </w:r>
      <w:bookmarkEnd w:id="102"/>
    </w:p>
    <w:p w14:paraId="1859B673">
      <w:pPr>
        <w:pStyle w:val="4"/>
        <w:spacing w:before="300" w:after="200"/>
      </w:pPr>
      <w:bookmarkStart w:id="103" w:name="_Toc10570"/>
      <w:r>
        <w:rPr>
          <w:rFonts w:ascii="黑体" w:hAnsi="黑体" w:eastAsia="黑体" w:cs="黑体"/>
          <w:b/>
          <w:bCs/>
          <w:color w:val="000000"/>
          <w:sz w:val="26"/>
          <w:szCs w:val="26"/>
        </w:rPr>
        <w:t>4.3.1 点云处理与三维建模</w:t>
      </w:r>
      <w:bookmarkEnd w:id="103"/>
    </w:p>
    <w:p w14:paraId="3F4D8E5C">
      <w:pPr>
        <w:spacing w:after="120" w:line="360" w:lineRule="auto"/>
        <w:jc w:val="both"/>
      </w:pPr>
      <w:r>
        <w:rPr>
          <w:rFonts w:ascii="宋体" w:hAnsi="宋体" w:eastAsia="宋体" w:cs="宋体"/>
          <w:sz w:val="24"/>
          <w:szCs w:val="24"/>
        </w:rPr>
        <w:t>原始点云数据需要经过一系列处理才能生成可用的三维模型。处理流程包括：去噪——去除扫描过程中的杂散点；配准——将多站扫描数据拼接为统一坐标系；简化——减少点云密度以提高计算效率；网格化——从点云生成多边形网格模型；贴图——将照片纹理映射到三维模型表面。</w:t>
      </w:r>
    </w:p>
    <w:p w14:paraId="3D635A7A">
      <w:pPr>
        <w:spacing w:after="120" w:line="360" w:lineRule="auto"/>
        <w:jc w:val="both"/>
      </w:pPr>
      <w:r>
        <w:rPr>
          <w:rFonts w:ascii="宋体" w:hAnsi="宋体" w:eastAsia="宋体" w:cs="宋体"/>
          <w:sz w:val="24"/>
          <w:szCs w:val="24"/>
        </w:rPr>
        <w:t>开源工具CloudCompare和专业软件Geomagic是常用的点云处理工具。对于大型遗址，通常采用LOD技术，根据观察距离自动切换模型的精细度。</w:t>
      </w:r>
    </w:p>
    <w:p w14:paraId="331109E7">
      <w:pPr>
        <w:pStyle w:val="4"/>
        <w:spacing w:before="300" w:after="200"/>
      </w:pPr>
      <w:bookmarkStart w:id="104" w:name="_Toc6468"/>
      <w:r>
        <w:rPr>
          <w:rFonts w:ascii="黑体" w:hAnsi="黑体" w:eastAsia="黑体" w:cs="黑体"/>
          <w:b/>
          <w:bCs/>
          <w:color w:val="000000"/>
          <w:sz w:val="26"/>
          <w:szCs w:val="26"/>
        </w:rPr>
        <w:t>4.3.2 BIM与HBIM</w:t>
      </w:r>
      <w:bookmarkEnd w:id="104"/>
    </w:p>
    <w:p w14:paraId="5EB339C8">
      <w:pPr>
        <w:spacing w:after="120" w:line="360" w:lineRule="auto"/>
        <w:jc w:val="both"/>
      </w:pPr>
      <w:r>
        <w:rPr>
          <w:rFonts w:ascii="宋体" w:hAnsi="宋体" w:eastAsia="宋体" w:cs="宋体"/>
          <w:sz w:val="24"/>
          <w:szCs w:val="24"/>
        </w:rPr>
        <w:t>BIM（建筑信息模型）近年来被引入文化遗产领域，形成HBIM（历史建筑信息模型）。HBIM不仅记录建筑的几何信息，还整合了材料、年代、病害、修缮记录等属性信息，为古建筑的全生命周期管理提供了数据平台。</w:t>
      </w:r>
    </w:p>
    <w:p w14:paraId="574FE7F5">
      <w:pPr>
        <w:spacing w:after="120" w:line="360" w:lineRule="auto"/>
        <w:jc w:val="both"/>
      </w:pPr>
      <w:r>
        <w:rPr>
          <w:rFonts w:ascii="宋体" w:hAnsi="宋体" w:eastAsia="宋体" w:cs="宋体"/>
          <w:sz w:val="24"/>
          <w:szCs w:val="24"/>
        </w:rPr>
        <w:t>对于屯堡建筑群，建立HBIM模型意味着：每一栋建筑的每一块石料、每一根梁柱都有数字档案，记录了其材料、年代、工艺、病害和修缮历史。</w:t>
      </w:r>
    </w:p>
    <w:p w14:paraId="7F2B787C">
      <w:pPr>
        <w:pStyle w:val="4"/>
        <w:spacing w:before="300" w:after="200"/>
      </w:pPr>
      <w:bookmarkStart w:id="105" w:name="_Toc12388"/>
      <w:r>
        <w:rPr>
          <w:rFonts w:ascii="黑体" w:hAnsi="黑体" w:eastAsia="黑体" w:cs="黑体"/>
          <w:b/>
          <w:bCs/>
          <w:color w:val="000000"/>
          <w:sz w:val="26"/>
          <w:szCs w:val="26"/>
        </w:rPr>
        <w:t>4.3.3 数字孪生</w:t>
      </w:r>
      <w:bookmarkEnd w:id="105"/>
    </w:p>
    <w:p w14:paraId="6CB5D125">
      <w:pPr>
        <w:spacing w:after="120" w:line="360" w:lineRule="auto"/>
        <w:jc w:val="both"/>
      </w:pPr>
      <w:r>
        <w:rPr>
          <w:rFonts w:ascii="宋体" w:hAnsi="宋体" w:eastAsia="宋体" w:cs="宋体"/>
          <w:sz w:val="24"/>
          <w:szCs w:val="24"/>
        </w:rPr>
        <w:t>数字孪生不仅是物理对象的静态数字副本，更是与物理对象实时同步、双向互动的动态模型。在文化遗产领域，数字孪生通过物联网传感器实时监测遗产的温湿度、位移、振动等指标，在数字模型中动态反映物理对象的状态变化。</w:t>
      </w:r>
    </w:p>
    <w:p w14:paraId="21201B71">
      <w:pPr>
        <w:spacing w:after="120" w:line="360" w:lineRule="auto"/>
        <w:jc w:val="both"/>
      </w:pPr>
      <w:r>
        <w:rPr>
          <w:rFonts w:ascii="宋体" w:hAnsi="宋体" w:eastAsia="宋体" w:cs="宋体"/>
          <w:sz w:val="24"/>
          <w:szCs w:val="24"/>
        </w:rPr>
        <w:t>云山屯的数字孪生项目在关键建筑中布设了裂缝传感器、倾斜传感器和环境传感器，实时监测建筑的结构安全。</w:t>
      </w:r>
    </w:p>
    <w:p w14:paraId="0356C5D6">
      <w:pPr>
        <w:pStyle w:val="3"/>
        <w:spacing w:before="300" w:after="200"/>
      </w:pPr>
      <w:bookmarkStart w:id="106" w:name="_Toc28107"/>
      <w:r>
        <w:rPr>
          <w:rFonts w:ascii="黑体" w:hAnsi="黑体" w:eastAsia="黑体" w:cs="黑体"/>
          <w:b/>
          <w:bCs/>
          <w:color w:val="000000"/>
          <w:sz w:val="28"/>
          <w:szCs w:val="28"/>
        </w:rPr>
        <w:t>4.4 数字化管理技术</w:t>
      </w:r>
      <w:bookmarkEnd w:id="106"/>
    </w:p>
    <w:p w14:paraId="461AF75D">
      <w:pPr>
        <w:pStyle w:val="4"/>
        <w:spacing w:before="300" w:after="200"/>
      </w:pPr>
      <w:bookmarkStart w:id="107" w:name="_Toc17775"/>
      <w:r>
        <w:rPr>
          <w:rFonts w:ascii="黑体" w:hAnsi="黑体" w:eastAsia="黑体" w:cs="黑体"/>
          <w:b/>
          <w:bCs/>
          <w:color w:val="000000"/>
          <w:sz w:val="26"/>
          <w:szCs w:val="26"/>
        </w:rPr>
        <w:t>4.4.1 知识图谱</w:t>
      </w:r>
      <w:bookmarkEnd w:id="107"/>
    </w:p>
    <w:p w14:paraId="65673BD4">
      <w:pPr>
        <w:spacing w:after="120" w:line="360" w:lineRule="auto"/>
        <w:jc w:val="both"/>
      </w:pPr>
      <w:r>
        <w:rPr>
          <w:rFonts w:ascii="宋体" w:hAnsi="宋体" w:eastAsia="宋体" w:cs="宋体"/>
          <w:sz w:val="24"/>
          <w:szCs w:val="24"/>
        </w:rPr>
        <w:t>知识图谱是一种用图结构（节点和边）来表示知识的技术。在文化遗产领域，知识图谱可以将分散在不同系统中的信息关联起来，形成可查询、可推理的知识网络。</w:t>
      </w:r>
    </w:p>
    <w:p w14:paraId="2C423F4F">
      <w:pPr>
        <w:spacing w:after="120" w:line="360" w:lineRule="auto"/>
        <w:jc w:val="both"/>
      </w:pPr>
      <w:r>
        <w:rPr>
          <w:rFonts w:ascii="宋体" w:hAnsi="宋体" w:eastAsia="宋体" w:cs="宋体"/>
          <w:sz w:val="24"/>
          <w:szCs w:val="24"/>
        </w:rPr>
        <w:t>屯堡文化知识图谱可以将"地戏-表演者-剧目-面具-历史事件""建筑-村寨-家族-家谱-迁徙路线""服饰-工艺-传承人-原料-产地"等信息关联起来。当研究者查询"薛仁贵征东"时，知识图谱可以同时返回该剧目在不同村寨的表演版本、相关面具的收藏信息等。</w:t>
      </w:r>
    </w:p>
    <w:p w14:paraId="175E9B08">
      <w:pPr>
        <w:pStyle w:val="4"/>
        <w:spacing w:before="300" w:after="200"/>
      </w:pPr>
      <w:bookmarkStart w:id="108" w:name="_Toc1646"/>
      <w:r>
        <w:rPr>
          <w:rFonts w:ascii="黑体" w:hAnsi="黑体" w:eastAsia="黑体" w:cs="黑体"/>
          <w:b/>
          <w:bCs/>
          <w:color w:val="000000"/>
          <w:sz w:val="26"/>
          <w:szCs w:val="26"/>
        </w:rPr>
        <w:t>4.4.2 区块链与数字版权</w:t>
      </w:r>
      <w:bookmarkEnd w:id="108"/>
    </w:p>
    <w:p w14:paraId="669390F0">
      <w:pPr>
        <w:spacing w:after="120" w:line="360" w:lineRule="auto"/>
        <w:jc w:val="both"/>
      </w:pPr>
      <w:r>
        <w:rPr>
          <w:rFonts w:ascii="宋体" w:hAnsi="宋体" w:eastAsia="宋体" w:cs="宋体"/>
          <w:sz w:val="24"/>
          <w:szCs w:val="24"/>
        </w:rPr>
        <w:t>区块链技术在文化遗产数字化中主要有两个应用方向：数字版权保护和数字资产确权。对于屯堡文化的数字化成果——如地戏表演的数字录像、面具的三维模型——区块链可以记录其创作时间、作者信息和授权记录，防止侵权盗用。</w:t>
      </w:r>
    </w:p>
    <w:p w14:paraId="29522F24">
      <w:pPr>
        <w:spacing w:after="120" w:line="360" w:lineRule="auto"/>
        <w:jc w:val="both"/>
      </w:pPr>
      <w:r>
        <w:rPr>
          <w:rFonts w:ascii="宋体" w:hAnsi="宋体" w:eastAsia="宋体" w:cs="宋体"/>
          <w:sz w:val="24"/>
          <w:szCs w:val="24"/>
        </w:rPr>
        <w:t>NFT在文化遗产领域的应用也引起广泛关注。屯堡地戏面具的数字化NFT可以让收藏者拥有独一无二的数字藏品，同时通过智能合约实现版税自动分配。</w:t>
      </w:r>
    </w:p>
    <w:p w14:paraId="597094B8">
      <w:pPr>
        <w:pStyle w:val="4"/>
        <w:spacing w:before="300" w:after="200"/>
      </w:pPr>
      <w:bookmarkStart w:id="109" w:name="_Toc17760"/>
      <w:r>
        <w:rPr>
          <w:rFonts w:ascii="黑体" w:hAnsi="黑体" w:eastAsia="黑体" w:cs="黑体"/>
          <w:b/>
          <w:bCs/>
          <w:color w:val="000000"/>
          <w:sz w:val="26"/>
          <w:szCs w:val="26"/>
        </w:rPr>
        <w:t>4.4.3 云计算与大数据平台</w:t>
      </w:r>
      <w:bookmarkEnd w:id="109"/>
    </w:p>
    <w:p w14:paraId="0DF69095">
      <w:pPr>
        <w:spacing w:after="120" w:line="360" w:lineRule="auto"/>
        <w:jc w:val="both"/>
      </w:pPr>
      <w:r>
        <w:rPr>
          <w:rFonts w:ascii="宋体" w:hAnsi="宋体" w:eastAsia="宋体" w:cs="宋体"/>
          <w:sz w:val="24"/>
          <w:szCs w:val="24"/>
        </w:rPr>
        <w:t>文化遗产数字化产生海量数据——一个中型村寨的三维点云数据可达TB级别。云计算为这些数据的存储、处理和分发提供了弹性可扩展的基础设施。大数据分析技术可以从海量文化遗产数据中发现模式、趋势和关联。</w:t>
      </w:r>
    </w:p>
    <w:p w14:paraId="7E17A8BC">
      <w:pPr>
        <w:pStyle w:val="3"/>
        <w:spacing w:before="300" w:after="200"/>
      </w:pPr>
      <w:bookmarkStart w:id="110" w:name="_Toc13738"/>
      <w:r>
        <w:rPr>
          <w:rFonts w:ascii="黑体" w:hAnsi="黑体" w:eastAsia="黑体" w:cs="黑体"/>
          <w:b/>
          <w:bCs/>
          <w:color w:val="000000"/>
          <w:sz w:val="28"/>
          <w:szCs w:val="28"/>
        </w:rPr>
        <w:t>4.5 数字化展示技术</w:t>
      </w:r>
      <w:bookmarkEnd w:id="110"/>
    </w:p>
    <w:p w14:paraId="33154B05">
      <w:pPr>
        <w:pStyle w:val="4"/>
        <w:spacing w:before="300" w:after="200"/>
      </w:pPr>
      <w:bookmarkStart w:id="111" w:name="_Toc1178"/>
      <w:r>
        <w:rPr>
          <w:rFonts w:ascii="黑体" w:hAnsi="黑体" w:eastAsia="黑体" w:cs="黑体"/>
          <w:b/>
          <w:bCs/>
          <w:color w:val="000000"/>
          <w:sz w:val="26"/>
          <w:szCs w:val="26"/>
        </w:rPr>
        <w:t>4.5.1 虚拟现实（VR）展示</w:t>
      </w:r>
      <w:bookmarkEnd w:id="111"/>
    </w:p>
    <w:p w14:paraId="73D3B3B5">
      <w:pPr>
        <w:spacing w:after="120" w:line="360" w:lineRule="auto"/>
        <w:jc w:val="both"/>
      </w:pPr>
      <w:r>
        <w:rPr>
          <w:rFonts w:ascii="宋体" w:hAnsi="宋体" w:eastAsia="宋体" w:cs="宋体"/>
          <w:sz w:val="24"/>
          <w:szCs w:val="24"/>
        </w:rPr>
        <w:t>VR技术为文化遗产提供了第一人称沉浸式体验。用户戴上VR头显，可以"走进"数字重建的屯堡村寨，与虚拟环境中的建筑、器物互动。VR展示可以突破物理空间的限制，可以"穿越"时间，体验已经消失的场景。</w:t>
      </w:r>
    </w:p>
    <w:p w14:paraId="403361EA">
      <w:pPr>
        <w:pStyle w:val="4"/>
        <w:spacing w:before="300" w:after="200"/>
      </w:pPr>
      <w:bookmarkStart w:id="112" w:name="_Toc715"/>
      <w:r>
        <w:rPr>
          <w:rFonts w:ascii="黑体" w:hAnsi="黑体" w:eastAsia="黑体" w:cs="黑体"/>
          <w:b/>
          <w:bCs/>
          <w:color w:val="000000"/>
          <w:sz w:val="26"/>
          <w:szCs w:val="26"/>
        </w:rPr>
        <w:t>4.5.2 增强现实（AR）导览</w:t>
      </w:r>
      <w:bookmarkEnd w:id="112"/>
    </w:p>
    <w:p w14:paraId="3E023EBA">
      <w:pPr>
        <w:spacing w:after="120" w:line="360" w:lineRule="auto"/>
        <w:jc w:val="both"/>
      </w:pPr>
      <w:r>
        <w:rPr>
          <w:rFonts w:ascii="宋体" w:hAnsi="宋体" w:eastAsia="宋体" w:cs="宋体"/>
          <w:sz w:val="24"/>
          <w:szCs w:val="24"/>
        </w:rPr>
        <w:t>AR技术将数字信息叠加到现实场景上，为文化遗产的现场参观增添了信息维度。在屯堡村寨，游客用手机或AR眼镜扫描一栋古建筑，屏幕上就会叠加显示其建筑年代、结构解析、修缮历史等信息。</w:t>
      </w:r>
    </w:p>
    <w:p w14:paraId="08FFB91F">
      <w:pPr>
        <w:pStyle w:val="4"/>
        <w:spacing w:before="300" w:after="200"/>
      </w:pPr>
      <w:bookmarkStart w:id="113" w:name="_Toc10217"/>
      <w:r>
        <w:rPr>
          <w:rFonts w:ascii="黑体" w:hAnsi="黑体" w:eastAsia="黑体" w:cs="黑体"/>
          <w:b/>
          <w:bCs/>
          <w:color w:val="000000"/>
          <w:sz w:val="26"/>
          <w:szCs w:val="26"/>
        </w:rPr>
        <w:t>4.5.3 交互式多媒体展示</w:t>
      </w:r>
      <w:bookmarkEnd w:id="113"/>
    </w:p>
    <w:p w14:paraId="76385278">
      <w:pPr>
        <w:spacing w:after="120" w:line="360" w:lineRule="auto"/>
        <w:jc w:val="both"/>
      </w:pPr>
      <w:r>
        <w:rPr>
          <w:rFonts w:ascii="宋体" w:hAnsi="宋体" w:eastAsia="宋体" w:cs="宋体"/>
          <w:sz w:val="24"/>
          <w:szCs w:val="24"/>
        </w:rPr>
        <w:t>交互式触摸屏、全息投影、沉浸式投影等多媒体展示技术，为文化遗产提供了丰富的表达手段。在屯堡文化博物馆，这些技术可以生动呈现地戏表演、服饰制作等难以静态展示的文化内容。</w:t>
      </w:r>
    </w:p>
    <w:p w14:paraId="3ACFF323">
      <w:pPr>
        <w:pStyle w:val="3"/>
        <w:spacing w:before="300" w:after="200"/>
      </w:pPr>
      <w:bookmarkStart w:id="114" w:name="_Toc30579"/>
      <w:r>
        <w:rPr>
          <w:rFonts w:ascii="黑体" w:hAnsi="黑体" w:eastAsia="黑体" w:cs="黑体"/>
          <w:b/>
          <w:bCs/>
          <w:color w:val="000000"/>
          <w:sz w:val="28"/>
          <w:szCs w:val="28"/>
        </w:rPr>
        <w:t>4.6 国际标准与最佳实践</w:t>
      </w:r>
      <w:bookmarkEnd w:id="114"/>
    </w:p>
    <w:p w14:paraId="04A5CBC2">
      <w:pPr>
        <w:pStyle w:val="4"/>
        <w:spacing w:before="300" w:after="200"/>
      </w:pPr>
      <w:bookmarkStart w:id="115" w:name="_Toc12889"/>
      <w:r>
        <w:rPr>
          <w:rFonts w:ascii="黑体" w:hAnsi="黑体" w:eastAsia="黑体" w:cs="黑体"/>
          <w:b/>
          <w:bCs/>
          <w:color w:val="000000"/>
          <w:sz w:val="26"/>
          <w:szCs w:val="26"/>
        </w:rPr>
        <w:t>4.6.1 国际文化遗产数字化标准</w:t>
      </w:r>
      <w:bookmarkEnd w:id="115"/>
    </w:p>
    <w:p w14:paraId="74C10F08">
      <w:pPr>
        <w:spacing w:after="120" w:line="360" w:lineRule="auto"/>
        <w:jc w:val="both"/>
      </w:pPr>
      <w:r>
        <w:rPr>
          <w:rFonts w:ascii="宋体" w:hAnsi="宋体" w:eastAsia="宋体" w:cs="宋体"/>
          <w:b/>
          <w:bCs/>
          <w:sz w:val="24"/>
          <w:szCs w:val="24"/>
        </w:rPr>
        <w:t>CIDOC-CRM（国际文献工作委员会概念参考模型）。</w:t>
      </w:r>
      <w:r>
        <w:rPr>
          <w:rFonts w:ascii="宋体" w:hAnsi="宋体" w:eastAsia="宋体" w:cs="宋体"/>
          <w:sz w:val="24"/>
          <w:szCs w:val="24"/>
        </w:rPr>
        <w:t xml:space="preserve"> 文化遗产信息领域的核心本体标准，定义了文化遗产领域的基本概念及其关系。</w:t>
      </w:r>
    </w:p>
    <w:p w14:paraId="05EED0A7">
      <w:pPr>
        <w:spacing w:after="120" w:line="360" w:lineRule="auto"/>
        <w:jc w:val="both"/>
      </w:pPr>
      <w:r>
        <w:rPr>
          <w:rFonts w:ascii="宋体" w:hAnsi="宋体" w:eastAsia="宋体" w:cs="宋体"/>
          <w:b/>
          <w:bCs/>
          <w:sz w:val="24"/>
          <w:szCs w:val="24"/>
        </w:rPr>
        <w:t>伦敦宪章。</w:t>
      </w:r>
      <w:r>
        <w:rPr>
          <w:rFonts w:ascii="宋体" w:hAnsi="宋体" w:eastAsia="宋体" w:cs="宋体"/>
          <w:sz w:val="24"/>
          <w:szCs w:val="24"/>
        </w:rPr>
        <w:t xml:space="preserve"> 为文化遗产的计算机可视化制定了方法论原则，强调可视化过程中的学术严谨性和透明度。</w:t>
      </w:r>
    </w:p>
    <w:p w14:paraId="46DD8204">
      <w:pPr>
        <w:spacing w:after="120" w:line="360" w:lineRule="auto"/>
        <w:jc w:val="both"/>
      </w:pPr>
      <w:r>
        <w:rPr>
          <w:rFonts w:ascii="宋体" w:hAnsi="宋体" w:eastAsia="宋体" w:cs="宋体"/>
          <w:b/>
          <w:bCs/>
          <w:sz w:val="24"/>
          <w:szCs w:val="24"/>
        </w:rPr>
        <w:t>IIIF（国际图像互操作框架）。</w:t>
      </w:r>
      <w:r>
        <w:rPr>
          <w:rFonts w:ascii="宋体" w:hAnsi="宋体" w:eastAsia="宋体" w:cs="宋体"/>
          <w:sz w:val="24"/>
          <w:szCs w:val="24"/>
        </w:rPr>
        <w:t xml:space="preserve"> 为文化遗产图像的网络发布和互操作制定的技术标准，全球主要博物馆和图书馆已广泛采用。</w:t>
      </w:r>
    </w:p>
    <w:p w14:paraId="0F05AF81">
      <w:pPr>
        <w:pStyle w:val="4"/>
        <w:spacing w:before="300" w:after="200"/>
      </w:pPr>
      <w:bookmarkStart w:id="116" w:name="_Toc4744"/>
      <w:r>
        <w:rPr>
          <w:rFonts w:ascii="黑体" w:hAnsi="黑体" w:eastAsia="黑体" w:cs="黑体"/>
          <w:b/>
          <w:bCs/>
          <w:color w:val="000000"/>
          <w:sz w:val="26"/>
          <w:szCs w:val="26"/>
        </w:rPr>
        <w:t>4.6.2 国内外典型案例</w:t>
      </w:r>
      <w:bookmarkEnd w:id="116"/>
    </w:p>
    <w:p w14:paraId="1FB30CCB">
      <w:pPr>
        <w:spacing w:after="120" w:line="360" w:lineRule="auto"/>
        <w:jc w:val="both"/>
      </w:pPr>
      <w:r>
        <w:rPr>
          <w:rFonts w:ascii="宋体" w:hAnsi="宋体" w:eastAsia="宋体" w:cs="宋体"/>
          <w:b/>
          <w:bCs/>
          <w:sz w:val="24"/>
          <w:szCs w:val="24"/>
        </w:rPr>
        <w:t>敦煌莫高窟数字化。</w:t>
      </w:r>
      <w:r>
        <w:rPr>
          <w:rFonts w:ascii="宋体" w:hAnsi="宋体" w:eastAsia="宋体" w:cs="宋体"/>
          <w:sz w:val="24"/>
          <w:szCs w:val="24"/>
        </w:rPr>
        <w:t xml:space="preserve"> 敦煌研究院自1990年代开始对莫高窟进行数字化保护，至今已完成200余个洞窟的三维数字化。"数字敦煌"项目是国际上规模最大的文化遗产数字化工程之一。</w:t>
      </w:r>
    </w:p>
    <w:p w14:paraId="509EA03B">
      <w:pPr>
        <w:spacing w:after="120" w:line="360" w:lineRule="auto"/>
        <w:jc w:val="both"/>
      </w:pPr>
      <w:r>
        <w:rPr>
          <w:rFonts w:ascii="宋体" w:hAnsi="宋体" w:eastAsia="宋体" w:cs="宋体"/>
          <w:b/>
          <w:bCs/>
          <w:sz w:val="24"/>
          <w:szCs w:val="24"/>
        </w:rPr>
        <w:t>故宫博物院"数字故宫"。</w:t>
      </w:r>
      <w:r>
        <w:rPr>
          <w:rFonts w:ascii="宋体" w:hAnsi="宋体" w:eastAsia="宋体" w:cs="宋体"/>
          <w:sz w:val="24"/>
          <w:szCs w:val="24"/>
        </w:rPr>
        <w:t xml:space="preserve"> 故宫博物院建立了完整的古建筑三维数据库和文物藏品数据库，开发了"每日故宫""故宫展览"等数字产品。</w:t>
      </w:r>
    </w:p>
    <w:p w14:paraId="3A2DDDE5">
      <w:pPr>
        <w:spacing w:after="120" w:line="360" w:lineRule="auto"/>
        <w:jc w:val="both"/>
      </w:pPr>
      <w:r>
        <w:rPr>
          <w:rFonts w:ascii="宋体" w:hAnsi="宋体" w:eastAsia="宋体" w:cs="宋体"/>
          <w:b/>
          <w:bCs/>
          <w:sz w:val="24"/>
          <w:szCs w:val="24"/>
        </w:rPr>
        <w:t>"威尼斯时光机"项目。</w:t>
      </w:r>
      <w:r>
        <w:rPr>
          <w:rFonts w:ascii="宋体" w:hAnsi="宋体" w:eastAsia="宋体" w:cs="宋体"/>
          <w:sz w:val="24"/>
          <w:szCs w:val="24"/>
        </w:rPr>
        <w:t xml:space="preserve"> 瑞士洛桑联邦理工学院主导的该项目，旨在将威尼斯国家档案馆80公里长的历史档案数字化，利用机器学习技术重建千年来的城市社会网络。</w:t>
      </w:r>
    </w:p>
    <w:p w14:paraId="12BC769A">
      <w:pPr>
        <w:pStyle w:val="3"/>
        <w:spacing w:before="300" w:after="200"/>
      </w:pPr>
      <w:bookmarkStart w:id="117" w:name="_Toc22278"/>
      <w:r>
        <w:rPr>
          <w:rFonts w:ascii="黑体" w:hAnsi="黑体" w:eastAsia="黑体" w:cs="黑体"/>
          <w:b/>
          <w:bCs/>
          <w:color w:val="000000"/>
          <w:sz w:val="28"/>
          <w:szCs w:val="28"/>
        </w:rPr>
        <w:t>4.7 屯堡文化数字化的特殊挑战</w:t>
      </w:r>
      <w:bookmarkEnd w:id="117"/>
    </w:p>
    <w:p w14:paraId="166CC0B4">
      <w:pPr>
        <w:pStyle w:val="4"/>
        <w:spacing w:before="300" w:after="200"/>
      </w:pPr>
      <w:bookmarkStart w:id="118" w:name="_Toc21342"/>
      <w:r>
        <w:rPr>
          <w:rFonts w:ascii="黑体" w:hAnsi="黑体" w:eastAsia="黑体" w:cs="黑体"/>
          <w:b/>
          <w:bCs/>
          <w:color w:val="000000"/>
          <w:sz w:val="26"/>
          <w:szCs w:val="26"/>
        </w:rPr>
        <w:t>4.7.1 规模与分散性</w:t>
      </w:r>
      <w:bookmarkEnd w:id="118"/>
    </w:p>
    <w:p w14:paraId="307047D9">
      <w:pPr>
        <w:spacing w:after="120" w:line="360" w:lineRule="auto"/>
        <w:jc w:val="both"/>
      </w:pPr>
      <w:r>
        <w:rPr>
          <w:rFonts w:ascii="宋体" w:hAnsi="宋体" w:eastAsia="宋体" w:cs="宋体"/>
          <w:sz w:val="24"/>
          <w:szCs w:val="24"/>
        </w:rPr>
        <w:t>屯堡文化遗产不是一个单一遗址，而是由数十个村寨组成的分散聚落群。需要建立统一的数据标准和技术规范，确保不同村寨的数字化成果能够整合为完整的数字屯堡文化圈。</w:t>
      </w:r>
    </w:p>
    <w:p w14:paraId="041B839A">
      <w:pPr>
        <w:pStyle w:val="4"/>
        <w:spacing w:before="300" w:after="200"/>
      </w:pPr>
      <w:bookmarkStart w:id="119" w:name="_Toc22027"/>
      <w:r>
        <w:rPr>
          <w:rFonts w:ascii="黑体" w:hAnsi="黑体" w:eastAsia="黑体" w:cs="黑体"/>
          <w:b/>
          <w:bCs/>
          <w:color w:val="000000"/>
          <w:sz w:val="26"/>
          <w:szCs w:val="26"/>
        </w:rPr>
        <w:t>4.7.2 物质与非物质并重</w:t>
      </w:r>
      <w:bookmarkEnd w:id="119"/>
    </w:p>
    <w:p w14:paraId="1F82589F">
      <w:pPr>
        <w:spacing w:after="120" w:line="360" w:lineRule="auto"/>
        <w:jc w:val="both"/>
      </w:pPr>
      <w:r>
        <w:rPr>
          <w:rFonts w:ascii="宋体" w:hAnsi="宋体" w:eastAsia="宋体" w:cs="宋体"/>
          <w:sz w:val="24"/>
          <w:szCs w:val="24"/>
        </w:rPr>
        <w:t>屯堡文化是物质与非物质文化遗产高度融合的整体。数字化不能只关注古建筑而忽视地戏、服饰、饮食等非物质文化遗产，需要设计一种整合性的数字化方案。</w:t>
      </w:r>
    </w:p>
    <w:p w14:paraId="55B51733">
      <w:pPr>
        <w:pStyle w:val="4"/>
        <w:spacing w:before="300" w:after="200"/>
      </w:pPr>
      <w:bookmarkStart w:id="120" w:name="_Toc10070"/>
      <w:r>
        <w:rPr>
          <w:rFonts w:ascii="黑体" w:hAnsi="黑体" w:eastAsia="黑体" w:cs="黑体"/>
          <w:b/>
          <w:bCs/>
          <w:color w:val="000000"/>
          <w:sz w:val="26"/>
          <w:szCs w:val="26"/>
        </w:rPr>
        <w:t>4.7.3 社区参与</w:t>
      </w:r>
      <w:bookmarkEnd w:id="120"/>
    </w:p>
    <w:p w14:paraId="157E3AA8">
      <w:pPr>
        <w:spacing w:after="120" w:line="360" w:lineRule="auto"/>
        <w:jc w:val="both"/>
      </w:pPr>
      <w:r>
        <w:rPr>
          <w:rFonts w:ascii="宋体" w:hAnsi="宋体" w:eastAsia="宋体" w:cs="宋体"/>
          <w:sz w:val="24"/>
          <w:szCs w:val="24"/>
        </w:rPr>
        <w:t>屯堡文化的传承主体是屯堡社区。数字化项目必须获得社区的理解、支持和参与。社区成员的参与方式包括：作为信息的提供者（口述史、家谱资料）；作为技艺的展示者（地戏表演、服饰制作）；作为数据的使用者。</w:t>
      </w:r>
    </w:p>
    <w:p w14:paraId="675BA583">
      <w:pPr>
        <w:pStyle w:val="3"/>
        <w:spacing w:before="300" w:after="200"/>
      </w:pPr>
      <w:bookmarkStart w:id="121" w:name="_Toc9781"/>
      <w:r>
        <w:rPr>
          <w:rFonts w:ascii="黑体" w:hAnsi="黑体" w:eastAsia="黑体" w:cs="黑体"/>
          <w:b/>
          <w:bCs/>
          <w:color w:val="000000"/>
          <w:sz w:val="28"/>
          <w:szCs w:val="28"/>
        </w:rPr>
        <w:t>本章小结</w:t>
      </w:r>
      <w:bookmarkEnd w:id="121"/>
    </w:p>
    <w:p w14:paraId="50048BA8">
      <w:pPr>
        <w:spacing w:after="120" w:line="360" w:lineRule="auto"/>
        <w:jc w:val="both"/>
      </w:pPr>
      <w:r>
        <w:rPr>
          <w:rFonts w:ascii="宋体" w:hAnsi="宋体" w:eastAsia="宋体" w:cs="宋体"/>
          <w:sz w:val="24"/>
          <w:szCs w:val="24"/>
        </w:rPr>
        <w:t>文化遗产数字化是通过数字技术对文化遗产进行采集、存储、处理、展示和传播的系统工程。主流采集技术包括三维激光扫描、摄影测量、全景成像和高光谱成像；处理技术包括点云处理、HBIM和数字孪生；管理技术包括知识图谱、区块链和云平台；展示技术包括VR、AR和交互式多媒体。国际标准如CIDOC-CRM和伦敦宪章为数字化工作提供了方法论指导。屯堡文化数字化面临分散性、物质与非物质整合、社区参与等特殊挑战。</w:t>
      </w:r>
    </w:p>
    <w:p w14:paraId="4442D3B5">
      <w:pPr>
        <w:pStyle w:val="3"/>
        <w:spacing w:before="300" w:after="200"/>
      </w:pPr>
      <w:bookmarkStart w:id="122" w:name="_Toc5446"/>
      <w:r>
        <w:rPr>
          <w:rFonts w:ascii="黑体" w:hAnsi="黑体" w:eastAsia="黑体" w:cs="黑体"/>
          <w:b/>
          <w:bCs/>
          <w:color w:val="000000"/>
          <w:sz w:val="28"/>
          <w:szCs w:val="28"/>
        </w:rPr>
        <w:t>思考与练习</w:t>
      </w:r>
      <w:bookmarkEnd w:id="122"/>
    </w:p>
    <w:p w14:paraId="4BA0111D">
      <w:pPr>
        <w:pStyle w:val="19"/>
        <w:numPr>
          <w:ilvl w:val="0"/>
          <w:numId w:val="2"/>
        </w:numPr>
        <w:spacing w:after="60" w:line="340" w:lineRule="auto"/>
      </w:pPr>
      <w:r>
        <w:rPr>
          <w:rFonts w:ascii="宋体" w:hAnsi="宋体" w:eastAsia="宋体" w:cs="宋体"/>
          <w:sz w:val="24"/>
          <w:szCs w:val="24"/>
        </w:rPr>
        <w:t>比较三维激光扫描与摄影测量在文化遗产数字化中的适用场景。</w:t>
      </w:r>
    </w:p>
    <w:p w14:paraId="37023D88">
      <w:pPr>
        <w:pStyle w:val="19"/>
        <w:numPr>
          <w:ilvl w:val="0"/>
          <w:numId w:val="2"/>
        </w:numPr>
        <w:spacing w:after="60" w:line="340" w:lineRule="auto"/>
      </w:pPr>
      <w:r>
        <w:rPr>
          <w:rFonts w:ascii="宋体" w:hAnsi="宋体" w:eastAsia="宋体" w:cs="宋体"/>
          <w:sz w:val="24"/>
          <w:szCs w:val="24"/>
        </w:rPr>
        <w:t>设计一份云山屯HBIM模型的数据结构方案。</w:t>
      </w:r>
    </w:p>
    <w:p w14:paraId="10D93361">
      <w:pPr>
        <w:pStyle w:val="19"/>
        <w:numPr>
          <w:ilvl w:val="0"/>
          <w:numId w:val="2"/>
        </w:numPr>
        <w:spacing w:after="60" w:line="340" w:lineRule="auto"/>
      </w:pPr>
      <w:r>
        <w:rPr>
          <w:rFonts w:ascii="宋体" w:hAnsi="宋体" w:eastAsia="宋体" w:cs="宋体"/>
          <w:sz w:val="24"/>
          <w:szCs w:val="24"/>
        </w:rPr>
        <w:t>数字孪生在文化遗产预防性保护中能发挥什么作用？</w:t>
      </w:r>
    </w:p>
    <w:p w14:paraId="18AD27BE">
      <w:pPr>
        <w:pStyle w:val="19"/>
        <w:numPr>
          <w:ilvl w:val="0"/>
          <w:numId w:val="2"/>
        </w:numPr>
        <w:spacing w:after="60" w:line="340" w:lineRule="auto"/>
      </w:pPr>
      <w:r>
        <w:rPr>
          <w:rFonts w:ascii="宋体" w:hAnsi="宋体" w:eastAsia="宋体" w:cs="宋体"/>
          <w:sz w:val="24"/>
          <w:szCs w:val="24"/>
        </w:rPr>
        <w:t>调查"数字敦煌"或"数字故宫"项目，分析其技术方案和运营模式。</w:t>
      </w:r>
    </w:p>
    <w:p w14:paraId="2CBB3892">
      <w:pPr>
        <w:pStyle w:val="19"/>
        <w:numPr>
          <w:ilvl w:val="0"/>
          <w:numId w:val="2"/>
        </w:numPr>
        <w:spacing w:after="60" w:line="340" w:lineRule="auto"/>
      </w:pPr>
      <w:r>
        <w:rPr>
          <w:rFonts w:ascii="宋体" w:hAnsi="宋体" w:eastAsia="宋体" w:cs="宋体"/>
          <w:sz w:val="24"/>
          <w:szCs w:val="24"/>
        </w:rPr>
        <w:t>为屯堡文化设计一套社区参与的数字化保护方案。</w:t>
      </w:r>
    </w:p>
    <w:p w14:paraId="3FB7936D">
      <w:pPr>
        <w:pStyle w:val="3"/>
        <w:spacing w:before="300" w:after="200"/>
      </w:pPr>
      <w:bookmarkStart w:id="123" w:name="_Toc31031"/>
      <w:r>
        <w:rPr>
          <w:rFonts w:ascii="黑体" w:hAnsi="黑体" w:eastAsia="黑体" w:cs="黑体"/>
          <w:b/>
          <w:bCs/>
          <w:color w:val="000000"/>
          <w:sz w:val="28"/>
          <w:szCs w:val="28"/>
        </w:rPr>
        <w:t>知识卡片：主流数字化采集技术对比</w:t>
      </w:r>
      <w:bookmarkEnd w:id="12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0CC46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5A0B6AD">
            <w:pPr>
              <w:spacing w:after="0"/>
            </w:pPr>
            <w:r>
              <w:rPr>
                <w:rFonts w:ascii="宋体" w:hAnsi="宋体" w:eastAsia="宋体" w:cs="宋体"/>
                <w:b/>
                <w:bCs/>
                <w:color w:val="FFFFFF"/>
                <w:sz w:val="20"/>
                <w:szCs w:val="20"/>
              </w:rPr>
              <w:t>技术</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7161C15">
            <w:pPr>
              <w:spacing w:after="0"/>
            </w:pPr>
            <w:r>
              <w:rPr>
                <w:rFonts w:ascii="宋体" w:hAnsi="宋体" w:eastAsia="宋体" w:cs="宋体"/>
                <w:b/>
                <w:bCs/>
                <w:color w:val="FFFFFF"/>
                <w:sz w:val="20"/>
                <w:szCs w:val="20"/>
              </w:rPr>
              <w:t>原理</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2079930">
            <w:pPr>
              <w:spacing w:after="0"/>
            </w:pPr>
            <w:r>
              <w:rPr>
                <w:rFonts w:ascii="宋体" w:hAnsi="宋体" w:eastAsia="宋体" w:cs="宋体"/>
                <w:b/>
                <w:bCs/>
                <w:color w:val="FFFFFF"/>
                <w:sz w:val="20"/>
                <w:szCs w:val="20"/>
              </w:rPr>
              <w:t>精度</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2882E39">
            <w:pPr>
              <w:spacing w:after="0"/>
            </w:pPr>
            <w:r>
              <w:rPr>
                <w:rFonts w:ascii="宋体" w:hAnsi="宋体" w:eastAsia="宋体" w:cs="宋体"/>
                <w:b/>
                <w:bCs/>
                <w:color w:val="FFFFFF"/>
                <w:sz w:val="20"/>
                <w:szCs w:val="20"/>
              </w:rPr>
              <w:t>成本</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2A900BD">
            <w:pPr>
              <w:spacing w:after="0"/>
            </w:pPr>
            <w:r>
              <w:rPr>
                <w:rFonts w:ascii="宋体" w:hAnsi="宋体" w:eastAsia="宋体" w:cs="宋体"/>
                <w:b/>
                <w:bCs/>
                <w:color w:val="FFFFFF"/>
                <w:sz w:val="20"/>
                <w:szCs w:val="20"/>
              </w:rPr>
              <w:t>适用对象</w:t>
            </w:r>
          </w:p>
        </w:tc>
      </w:tr>
      <w:tr w14:paraId="6460E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F3992D">
            <w:pPr>
              <w:spacing w:after="0"/>
            </w:pPr>
            <w:r>
              <w:rPr>
                <w:rFonts w:ascii="宋体" w:hAnsi="宋体" w:eastAsia="宋体" w:cs="宋体"/>
                <w:sz w:val="20"/>
                <w:szCs w:val="20"/>
              </w:rPr>
              <w:t>三维激光扫描</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049C49">
            <w:pPr>
              <w:spacing w:after="0"/>
            </w:pPr>
            <w:r>
              <w:rPr>
                <w:rFonts w:ascii="宋体" w:hAnsi="宋体" w:eastAsia="宋体" w:cs="宋体"/>
                <w:sz w:val="20"/>
                <w:szCs w:val="20"/>
              </w:rPr>
              <w:t>激光测距</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958E6F">
            <w:pPr>
              <w:spacing w:after="0"/>
            </w:pPr>
            <w:r>
              <w:rPr>
                <w:rFonts w:ascii="宋体" w:hAnsi="宋体" w:eastAsia="宋体" w:cs="宋体"/>
                <w:sz w:val="20"/>
                <w:szCs w:val="20"/>
              </w:rPr>
              <w:t>毫米级</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7208C14">
            <w:pPr>
              <w:spacing w:after="0"/>
            </w:pPr>
            <w:r>
              <w:rPr>
                <w:rFonts w:ascii="宋体" w:hAnsi="宋体" w:eastAsia="宋体" w:cs="宋体"/>
                <w:sz w:val="20"/>
                <w:szCs w:val="20"/>
              </w:rPr>
              <w:t>高</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BE82F5">
            <w:pPr>
              <w:spacing w:after="0"/>
            </w:pPr>
            <w:r>
              <w:rPr>
                <w:rFonts w:ascii="宋体" w:hAnsi="宋体" w:eastAsia="宋体" w:cs="宋体"/>
                <w:sz w:val="20"/>
                <w:szCs w:val="20"/>
              </w:rPr>
              <w:t>建筑、遗址、大型器物</w:t>
            </w:r>
          </w:p>
        </w:tc>
      </w:tr>
      <w:tr w14:paraId="43850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3C275A">
            <w:pPr>
              <w:spacing w:after="0"/>
            </w:pPr>
            <w:r>
              <w:rPr>
                <w:rFonts w:ascii="宋体" w:hAnsi="宋体" w:eastAsia="宋体" w:cs="宋体"/>
                <w:sz w:val="20"/>
                <w:szCs w:val="20"/>
              </w:rPr>
              <w:t>摄影测量</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E20375">
            <w:pPr>
              <w:spacing w:after="0"/>
            </w:pPr>
            <w:r>
              <w:rPr>
                <w:rFonts w:ascii="宋体" w:hAnsi="宋体" w:eastAsia="宋体" w:cs="宋体"/>
                <w:sz w:val="20"/>
                <w:szCs w:val="20"/>
              </w:rPr>
              <w:t>多角度影像匹配</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12DE68">
            <w:pPr>
              <w:spacing w:after="0"/>
            </w:pPr>
            <w:r>
              <w:rPr>
                <w:rFonts w:ascii="宋体" w:hAnsi="宋体" w:eastAsia="宋体" w:cs="宋体"/>
                <w:sz w:val="20"/>
                <w:szCs w:val="20"/>
              </w:rPr>
              <w:t>厘米级</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E65D58">
            <w:pPr>
              <w:spacing w:after="0"/>
            </w:pPr>
            <w:r>
              <w:rPr>
                <w:rFonts w:ascii="宋体" w:hAnsi="宋体" w:eastAsia="宋体" w:cs="宋体"/>
                <w:sz w:val="20"/>
                <w:szCs w:val="20"/>
              </w:rPr>
              <w:t>低</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3B780BF">
            <w:pPr>
              <w:spacing w:after="0"/>
            </w:pPr>
            <w:r>
              <w:rPr>
                <w:rFonts w:ascii="宋体" w:hAnsi="宋体" w:eastAsia="宋体" w:cs="宋体"/>
                <w:sz w:val="20"/>
                <w:szCs w:val="20"/>
              </w:rPr>
              <w:t>大范围地形、建筑外立面</w:t>
            </w:r>
          </w:p>
        </w:tc>
      </w:tr>
      <w:tr w14:paraId="4F9C0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C68E9D">
            <w:pPr>
              <w:spacing w:after="0"/>
            </w:pPr>
            <w:r>
              <w:rPr>
                <w:rFonts w:ascii="宋体" w:hAnsi="宋体" w:eastAsia="宋体" w:cs="宋体"/>
                <w:sz w:val="20"/>
                <w:szCs w:val="20"/>
              </w:rPr>
              <w:t>全景成像</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5E120B">
            <w:pPr>
              <w:spacing w:after="0"/>
            </w:pPr>
            <w:r>
              <w:rPr>
                <w:rFonts w:ascii="宋体" w:hAnsi="宋体" w:eastAsia="宋体" w:cs="宋体"/>
                <w:sz w:val="20"/>
                <w:szCs w:val="20"/>
              </w:rPr>
              <w:t>多照片拼接</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3B15BF">
            <w:pPr>
              <w:spacing w:after="0"/>
            </w:pPr>
            <w:r>
              <w:rPr>
                <w:rFonts w:ascii="宋体" w:hAnsi="宋体" w:eastAsia="宋体" w:cs="宋体"/>
                <w:sz w:val="20"/>
                <w:szCs w:val="20"/>
              </w:rPr>
              <w:t>N/A</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EF94E4">
            <w:pPr>
              <w:spacing w:after="0"/>
            </w:pPr>
            <w:r>
              <w:rPr>
                <w:rFonts w:ascii="宋体" w:hAnsi="宋体" w:eastAsia="宋体" w:cs="宋体"/>
                <w:sz w:val="20"/>
                <w:szCs w:val="20"/>
              </w:rPr>
              <w:t>低</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47D7DB">
            <w:pPr>
              <w:spacing w:after="0"/>
            </w:pPr>
            <w:r>
              <w:rPr>
                <w:rFonts w:ascii="宋体" w:hAnsi="宋体" w:eastAsia="宋体" w:cs="宋体"/>
                <w:sz w:val="20"/>
                <w:szCs w:val="20"/>
              </w:rPr>
              <w:t>场景展示、VR导览</w:t>
            </w:r>
          </w:p>
        </w:tc>
      </w:tr>
      <w:tr w14:paraId="48087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51DBDC">
            <w:pPr>
              <w:spacing w:after="0"/>
            </w:pPr>
            <w:r>
              <w:rPr>
                <w:rFonts w:ascii="宋体" w:hAnsi="宋体" w:eastAsia="宋体" w:cs="宋体"/>
                <w:sz w:val="20"/>
                <w:szCs w:val="20"/>
              </w:rPr>
              <w:t>高光谱成像</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A91100">
            <w:pPr>
              <w:spacing w:after="0"/>
            </w:pPr>
            <w:r>
              <w:rPr>
                <w:rFonts w:ascii="宋体" w:hAnsi="宋体" w:eastAsia="宋体" w:cs="宋体"/>
                <w:sz w:val="20"/>
                <w:szCs w:val="20"/>
              </w:rPr>
              <w:t>多波段光谱采集</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DBE634">
            <w:pPr>
              <w:spacing w:after="0"/>
            </w:pPr>
            <w:r>
              <w:rPr>
                <w:rFonts w:ascii="宋体" w:hAnsi="宋体" w:eastAsia="宋体" w:cs="宋体"/>
                <w:sz w:val="20"/>
                <w:szCs w:val="20"/>
              </w:rPr>
              <w:t>光谱级</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2334A1">
            <w:pPr>
              <w:spacing w:after="0"/>
            </w:pPr>
            <w:r>
              <w:rPr>
                <w:rFonts w:ascii="宋体" w:hAnsi="宋体" w:eastAsia="宋体" w:cs="宋体"/>
                <w:sz w:val="20"/>
                <w:szCs w:val="20"/>
              </w:rPr>
              <w:t>高</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457247">
            <w:pPr>
              <w:spacing w:after="0"/>
            </w:pPr>
            <w:r>
              <w:rPr>
                <w:rFonts w:ascii="宋体" w:hAnsi="宋体" w:eastAsia="宋体" w:cs="宋体"/>
                <w:sz w:val="20"/>
                <w:szCs w:val="20"/>
              </w:rPr>
              <w:t>壁画、彩塑、文献分析</w:t>
            </w:r>
          </w:p>
        </w:tc>
      </w:tr>
      <w:tr w14:paraId="35CA3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76EF32">
            <w:pPr>
              <w:spacing w:after="0"/>
            </w:pPr>
            <w:r>
              <w:rPr>
                <w:rFonts w:ascii="宋体" w:hAnsi="宋体" w:eastAsia="宋体" w:cs="宋体"/>
                <w:sz w:val="20"/>
                <w:szCs w:val="20"/>
              </w:rPr>
              <w:t>RTI</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E65C8D">
            <w:pPr>
              <w:spacing w:after="0"/>
            </w:pPr>
            <w:r>
              <w:rPr>
                <w:rFonts w:ascii="宋体" w:hAnsi="宋体" w:eastAsia="宋体" w:cs="宋体"/>
                <w:sz w:val="20"/>
                <w:szCs w:val="20"/>
              </w:rPr>
              <w:t>多光源照片合成</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6DCB4A">
            <w:pPr>
              <w:spacing w:after="0"/>
            </w:pPr>
            <w:r>
              <w:rPr>
                <w:rFonts w:ascii="宋体" w:hAnsi="宋体" w:eastAsia="宋体" w:cs="宋体"/>
                <w:sz w:val="20"/>
                <w:szCs w:val="20"/>
              </w:rPr>
              <w:t>亚毫米级</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170CF1">
            <w:pPr>
              <w:spacing w:after="0"/>
            </w:pPr>
            <w:r>
              <w:rPr>
                <w:rFonts w:ascii="宋体" w:hAnsi="宋体" w:eastAsia="宋体" w:cs="宋体"/>
                <w:sz w:val="20"/>
                <w:szCs w:val="20"/>
              </w:rPr>
              <w:t>中</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787F41">
            <w:pPr>
              <w:spacing w:after="0"/>
            </w:pPr>
            <w:r>
              <w:rPr>
                <w:rFonts w:ascii="宋体" w:hAnsi="宋体" w:eastAsia="宋体" w:cs="宋体"/>
                <w:sz w:val="20"/>
                <w:szCs w:val="20"/>
              </w:rPr>
              <w:t>石刻、钱币、织物纹理</w:t>
            </w:r>
          </w:p>
        </w:tc>
      </w:tr>
    </w:tbl>
    <w:p w14:paraId="7C5E1207">
      <w:r>
        <w:br w:type="page"/>
      </w:r>
    </w:p>
    <w:p w14:paraId="733122AE">
      <w:pPr>
        <w:pStyle w:val="2"/>
        <w:spacing w:before="400" w:after="200"/>
      </w:pPr>
      <w:bookmarkStart w:id="124" w:name="_Toc7533"/>
      <w:r>
        <w:rPr>
          <w:rFonts w:ascii="黑体" w:hAnsi="黑体" w:eastAsia="黑体" w:cs="黑体"/>
          <w:b/>
          <w:bCs/>
          <w:color w:val="1F4E79"/>
          <w:sz w:val="32"/>
          <w:szCs w:val="32"/>
        </w:rPr>
        <w:t>第 5 章  屯堡建筑与空间数字化</w:t>
      </w:r>
      <w:bookmarkEnd w:id="124"/>
    </w:p>
    <w:p w14:paraId="02D4D4CA">
      <w:pPr>
        <w:pStyle w:val="3"/>
        <w:spacing w:before="300" w:after="200"/>
      </w:pPr>
      <w:bookmarkStart w:id="125" w:name="_Toc22110"/>
      <w:r>
        <w:rPr>
          <w:rFonts w:ascii="黑体" w:hAnsi="黑体" w:eastAsia="黑体" w:cs="黑体"/>
          <w:b/>
          <w:bCs/>
          <w:color w:val="000000"/>
          <w:sz w:val="28"/>
          <w:szCs w:val="28"/>
        </w:rPr>
        <w:t>学习目标</w:t>
      </w:r>
      <w:bookmarkEnd w:id="125"/>
    </w:p>
    <w:p w14:paraId="6A76C1D0">
      <w:pPr>
        <w:pStyle w:val="19"/>
        <w:numPr>
          <w:ilvl w:val="0"/>
          <w:numId w:val="1"/>
        </w:numPr>
        <w:spacing w:after="60" w:line="340" w:lineRule="auto"/>
      </w:pPr>
      <w:r>
        <w:rPr>
          <w:rFonts w:ascii="宋体" w:hAnsi="宋体" w:eastAsia="宋体" w:cs="宋体"/>
          <w:sz w:val="24"/>
          <w:szCs w:val="24"/>
        </w:rPr>
        <w:t>掌握屯堡建筑数字化的整体技术方案</w:t>
      </w:r>
    </w:p>
    <w:p w14:paraId="40241EA3">
      <w:pPr>
        <w:pStyle w:val="19"/>
        <w:numPr>
          <w:ilvl w:val="0"/>
          <w:numId w:val="1"/>
        </w:numPr>
        <w:spacing w:after="60" w:line="340" w:lineRule="auto"/>
      </w:pPr>
      <w:r>
        <w:rPr>
          <w:rFonts w:ascii="宋体" w:hAnsi="宋体" w:eastAsia="宋体" w:cs="宋体"/>
          <w:sz w:val="24"/>
          <w:szCs w:val="24"/>
        </w:rPr>
        <w:t>了解屯堡古建筑三维数据采集的具体流程</w:t>
      </w:r>
    </w:p>
    <w:p w14:paraId="2DC0B95F">
      <w:pPr>
        <w:pStyle w:val="19"/>
        <w:numPr>
          <w:ilvl w:val="0"/>
          <w:numId w:val="1"/>
        </w:numPr>
        <w:spacing w:after="60" w:line="340" w:lineRule="auto"/>
      </w:pPr>
      <w:r>
        <w:rPr>
          <w:rFonts w:ascii="宋体" w:hAnsi="宋体" w:eastAsia="宋体" w:cs="宋体"/>
          <w:sz w:val="24"/>
          <w:szCs w:val="24"/>
        </w:rPr>
        <w:t>学习屯堡建筑HBIM建模的关键技术</w:t>
      </w:r>
    </w:p>
    <w:p w14:paraId="424C734D">
      <w:pPr>
        <w:pStyle w:val="19"/>
        <w:numPr>
          <w:ilvl w:val="0"/>
          <w:numId w:val="1"/>
        </w:numPr>
        <w:spacing w:after="60" w:line="340" w:lineRule="auto"/>
      </w:pPr>
      <w:r>
        <w:rPr>
          <w:rFonts w:ascii="宋体" w:hAnsi="宋体" w:eastAsia="宋体" w:cs="宋体"/>
          <w:sz w:val="24"/>
          <w:szCs w:val="24"/>
        </w:rPr>
        <w:t>掌握屯堡村寨空间格局的GIS分析方法</w:t>
      </w:r>
    </w:p>
    <w:p w14:paraId="0F137B11">
      <w:pPr>
        <w:pStyle w:val="19"/>
        <w:numPr>
          <w:ilvl w:val="0"/>
          <w:numId w:val="1"/>
        </w:numPr>
        <w:spacing w:after="60" w:line="340" w:lineRule="auto"/>
      </w:pPr>
      <w:r>
        <w:rPr>
          <w:rFonts w:ascii="宋体" w:hAnsi="宋体" w:eastAsia="宋体" w:cs="宋体"/>
          <w:sz w:val="24"/>
          <w:szCs w:val="24"/>
        </w:rPr>
        <w:t>能够设计屯堡建筑数字孪生系统</w:t>
      </w:r>
    </w:p>
    <w:p w14:paraId="7426D3F9">
      <w:pPr>
        <w:pStyle w:val="3"/>
        <w:spacing w:before="300" w:after="200"/>
      </w:pPr>
      <w:bookmarkStart w:id="126" w:name="_Toc14785"/>
      <w:r>
        <w:rPr>
          <w:rFonts w:ascii="黑体" w:hAnsi="黑体" w:eastAsia="黑体" w:cs="黑体"/>
          <w:b/>
          <w:bCs/>
          <w:color w:val="000000"/>
          <w:sz w:val="28"/>
          <w:szCs w:val="28"/>
        </w:rPr>
        <w:t>导入案例：本寨杨家老宅的数字档案</w:t>
      </w:r>
      <w:bookmarkEnd w:id="126"/>
    </w:p>
    <w:p w14:paraId="09D69C01">
      <w:pPr>
        <w:spacing w:after="120" w:line="360" w:lineRule="auto"/>
        <w:jc w:val="both"/>
      </w:pPr>
      <w:r>
        <w:rPr>
          <w:rFonts w:ascii="宋体" w:hAnsi="宋体" w:eastAsia="宋体" w:cs="宋体"/>
          <w:sz w:val="24"/>
          <w:szCs w:val="24"/>
        </w:rPr>
        <w:t>2024年，安顺市文物保护单位启动了本寨杨家老宅的全面数字化工程。技术团队用了两周时间，对这座200年历史的屯堡四合院进行了全方位的数字化采集。地面激光扫描获取了建筑外部和内部的精确三维数据，无人机航拍记录了屋顶和院落的全貌，手持扫描仪精细采集了门楼木雕、柱础石雕等关键构件。</w:t>
      </w:r>
    </w:p>
    <w:p w14:paraId="7B94BBF0">
      <w:pPr>
        <w:spacing w:after="120" w:line="360" w:lineRule="auto"/>
        <w:jc w:val="both"/>
      </w:pPr>
      <w:r>
        <w:rPr>
          <w:rFonts w:ascii="宋体" w:hAnsi="宋体" w:eastAsia="宋体" w:cs="宋体"/>
          <w:sz w:val="24"/>
          <w:szCs w:val="24"/>
        </w:rPr>
        <w:t>最终生成的数据包括：建筑整体点云（1.2亿个点）、各立面正射影像、剖面图、三维实景模型，以及整合了材料信息、病害记录和修缮历史的HBIM模型。这套数字档案不仅为杨家老宅的日常维护提供了科学依据，也为学术研究和公众教育提供了丰富的数字资源。</w:t>
      </w:r>
    </w:p>
    <w:p w14:paraId="530BCA97">
      <w:pPr>
        <w:pStyle w:val="3"/>
        <w:spacing w:before="300" w:after="200"/>
      </w:pPr>
      <w:bookmarkStart w:id="127" w:name="_Toc10274"/>
      <w:r>
        <w:rPr>
          <w:rFonts w:ascii="黑体" w:hAnsi="黑体" w:eastAsia="黑体" w:cs="黑体"/>
          <w:b/>
          <w:bCs/>
          <w:color w:val="000000"/>
          <w:sz w:val="28"/>
          <w:szCs w:val="28"/>
        </w:rPr>
        <w:t>5.1 屯堡建筑数字化的整体方案</w:t>
      </w:r>
      <w:bookmarkEnd w:id="127"/>
    </w:p>
    <w:p w14:paraId="37D0A93F">
      <w:pPr>
        <w:pStyle w:val="4"/>
        <w:spacing w:before="300" w:after="200"/>
      </w:pPr>
      <w:bookmarkStart w:id="128" w:name="_Toc2512"/>
      <w:r>
        <w:rPr>
          <w:rFonts w:ascii="黑体" w:hAnsi="黑体" w:eastAsia="黑体" w:cs="黑体"/>
          <w:b/>
          <w:bCs/>
          <w:color w:val="000000"/>
          <w:sz w:val="26"/>
          <w:szCs w:val="26"/>
        </w:rPr>
        <w:t>5.1.1 数字化分级策略</w:t>
      </w:r>
      <w:bookmarkEnd w:id="128"/>
    </w:p>
    <w:p w14:paraId="5351A395">
      <w:pPr>
        <w:spacing w:after="120" w:line="360" w:lineRule="auto"/>
        <w:jc w:val="both"/>
      </w:pPr>
      <w:r>
        <w:rPr>
          <w:rFonts w:ascii="宋体" w:hAnsi="宋体" w:eastAsia="宋体" w:cs="宋体"/>
          <w:sz w:val="24"/>
          <w:szCs w:val="24"/>
        </w:rPr>
        <w:t>屯堡建筑数量众多、保存状况各异，不宜一刀切地进行同等深度的数字化。建议采用三级数字化策略：</w:t>
      </w:r>
    </w:p>
    <w:p w14:paraId="21789B28">
      <w:pPr>
        <w:spacing w:after="120" w:line="360" w:lineRule="auto"/>
        <w:jc w:val="both"/>
      </w:pPr>
      <w:r>
        <w:rPr>
          <w:rFonts w:ascii="宋体" w:hAnsi="宋体" w:eastAsia="宋体" w:cs="宋体"/>
          <w:b/>
          <w:bCs/>
          <w:sz w:val="24"/>
          <w:szCs w:val="24"/>
        </w:rPr>
        <w:t>一级数字化（重点保护建筑）。</w:t>
      </w:r>
      <w:r>
        <w:rPr>
          <w:rFonts w:ascii="宋体" w:hAnsi="宋体" w:eastAsia="宋体" w:cs="宋体"/>
          <w:sz w:val="24"/>
          <w:szCs w:val="24"/>
        </w:rPr>
        <w:t xml:space="preserve"> 对象为全国重点文物保护单位和省级文物保护单位，如本寨古建筑群、云山屯古建筑群。数字化深度为测绘级+分析级，包括高精度三维激光扫描、HBIM建模、病害调查和结构健康监测。</w:t>
      </w:r>
    </w:p>
    <w:p w14:paraId="01C60D56">
      <w:pPr>
        <w:spacing w:after="120" w:line="360" w:lineRule="auto"/>
        <w:jc w:val="both"/>
      </w:pPr>
      <w:r>
        <w:rPr>
          <w:rFonts w:ascii="宋体" w:hAnsi="宋体" w:eastAsia="宋体" w:cs="宋体"/>
          <w:b/>
          <w:bCs/>
          <w:sz w:val="24"/>
          <w:szCs w:val="24"/>
        </w:rPr>
        <w:t>二级数字化（一般保护建筑）。</w:t>
      </w:r>
      <w:r>
        <w:rPr>
          <w:rFonts w:ascii="宋体" w:hAnsi="宋体" w:eastAsia="宋体" w:cs="宋体"/>
          <w:sz w:val="24"/>
          <w:szCs w:val="24"/>
        </w:rPr>
        <w:t xml:space="preserve"> 对象为市县级文物保护单位和历史建筑。数字化深度为测绘级，包括三维激光扫描或摄影测量、基本的三维模型和属性记录。</w:t>
      </w:r>
    </w:p>
    <w:p w14:paraId="3AF5CD50">
      <w:pPr>
        <w:spacing w:after="120" w:line="360" w:lineRule="auto"/>
        <w:jc w:val="both"/>
      </w:pPr>
      <w:r>
        <w:rPr>
          <w:rFonts w:ascii="宋体" w:hAnsi="宋体" w:eastAsia="宋体" w:cs="宋体"/>
          <w:b/>
          <w:bCs/>
          <w:sz w:val="24"/>
          <w:szCs w:val="24"/>
        </w:rPr>
        <w:t>三级数字化（传统风貌建筑）。</w:t>
      </w:r>
      <w:r>
        <w:rPr>
          <w:rFonts w:ascii="宋体" w:hAnsi="宋体" w:eastAsia="宋体" w:cs="宋体"/>
          <w:sz w:val="24"/>
          <w:szCs w:val="24"/>
        </w:rPr>
        <w:t xml:space="preserve"> 对象为保存状况一般的传统民居。数字化深度为记录级，包括无人机航拍、全景摄影和基本信息登记。</w:t>
      </w:r>
    </w:p>
    <w:p w14:paraId="3CC4E62D">
      <w:pPr>
        <w:pStyle w:val="4"/>
        <w:spacing w:before="300" w:after="200"/>
      </w:pPr>
      <w:bookmarkStart w:id="129" w:name="_Toc15110"/>
      <w:r>
        <w:rPr>
          <w:rFonts w:ascii="黑体" w:hAnsi="黑体" w:eastAsia="黑体" w:cs="黑体"/>
          <w:b/>
          <w:bCs/>
          <w:color w:val="000000"/>
          <w:sz w:val="26"/>
          <w:szCs w:val="26"/>
        </w:rPr>
        <w:t>5.1.2 数字化工作流程</w:t>
      </w:r>
      <w:bookmarkEnd w:id="129"/>
    </w:p>
    <w:p w14:paraId="0CA70466">
      <w:pPr>
        <w:spacing w:after="120" w:line="360" w:lineRule="auto"/>
        <w:jc w:val="both"/>
      </w:pPr>
      <w:r>
        <w:rPr>
          <w:rFonts w:ascii="宋体" w:hAnsi="宋体" w:eastAsia="宋体" w:cs="宋体"/>
          <w:sz w:val="24"/>
          <w:szCs w:val="24"/>
        </w:rPr>
        <w:t>屯堡建筑数字化的标准工作流程包括六个阶段：</w:t>
      </w:r>
    </w:p>
    <w:p w14:paraId="09DFC9F0">
      <w:pPr>
        <w:spacing w:after="120" w:line="360" w:lineRule="auto"/>
        <w:jc w:val="both"/>
      </w:pPr>
      <w:r>
        <w:rPr>
          <w:rFonts w:ascii="宋体" w:hAnsi="宋体" w:eastAsia="宋体" w:cs="宋体"/>
          <w:b/>
          <w:bCs/>
          <w:sz w:val="24"/>
          <w:szCs w:val="24"/>
        </w:rPr>
        <w:t>准备阶段。</w:t>
      </w:r>
      <w:r>
        <w:rPr>
          <w:rFonts w:ascii="宋体" w:hAnsi="宋体" w:eastAsia="宋体" w:cs="宋体"/>
          <w:sz w:val="24"/>
          <w:szCs w:val="24"/>
        </w:rPr>
        <w:t xml:space="preserve"> 收集建筑的历史资料（老照片、测绘图、修缮记录）；踏勘现场，确定扫描站点位置和无人机航线；制定数据采集方案和应急预案。</w:t>
      </w:r>
    </w:p>
    <w:p w14:paraId="080A58DE">
      <w:pPr>
        <w:spacing w:after="120" w:line="360" w:lineRule="auto"/>
        <w:jc w:val="both"/>
      </w:pPr>
      <w:r>
        <w:rPr>
          <w:rFonts w:ascii="宋体" w:hAnsi="宋体" w:eastAsia="宋体" w:cs="宋体"/>
          <w:b/>
          <w:bCs/>
          <w:sz w:val="24"/>
          <w:szCs w:val="24"/>
        </w:rPr>
        <w:t>外业采集阶段。</w:t>
      </w:r>
      <w:r>
        <w:rPr>
          <w:rFonts w:ascii="宋体" w:hAnsi="宋体" w:eastAsia="宋体" w:cs="宋体"/>
          <w:sz w:val="24"/>
          <w:szCs w:val="24"/>
        </w:rPr>
        <w:t xml:space="preserve"> 架设地面激光扫描仪，逐站扫描建筑内外；使用无人机进行倾斜摄影和正射影像采集；手持扫描仪补充采集雕刻、构件等精细部位；同步进行病害调查和拍照记录。</w:t>
      </w:r>
    </w:p>
    <w:p w14:paraId="3FF68FC2">
      <w:pPr>
        <w:spacing w:after="120" w:line="360" w:lineRule="auto"/>
        <w:jc w:val="both"/>
      </w:pPr>
      <w:r>
        <w:rPr>
          <w:rFonts w:ascii="宋体" w:hAnsi="宋体" w:eastAsia="宋体" w:cs="宋体"/>
          <w:b/>
          <w:bCs/>
          <w:sz w:val="24"/>
          <w:szCs w:val="24"/>
        </w:rPr>
        <w:t>内业处理阶段。</w:t>
      </w:r>
      <w:r>
        <w:rPr>
          <w:rFonts w:ascii="宋体" w:hAnsi="宋体" w:eastAsia="宋体" w:cs="宋体"/>
          <w:sz w:val="24"/>
          <w:szCs w:val="24"/>
        </w:rPr>
        <w:t xml:space="preserve"> 点云数据去噪、配准、简化；摄影测量三维重建；正射影像生成和立面图绘制。</w:t>
      </w:r>
    </w:p>
    <w:p w14:paraId="769510F0">
      <w:pPr>
        <w:spacing w:after="120" w:line="360" w:lineRule="auto"/>
        <w:jc w:val="both"/>
      </w:pPr>
      <w:r>
        <w:rPr>
          <w:rFonts w:ascii="宋体" w:hAnsi="宋体" w:eastAsia="宋体" w:cs="宋体"/>
          <w:b/>
          <w:bCs/>
          <w:sz w:val="24"/>
          <w:szCs w:val="24"/>
        </w:rPr>
        <w:t>建模阶段。</w:t>
      </w:r>
      <w:r>
        <w:rPr>
          <w:rFonts w:ascii="宋体" w:hAnsi="宋体" w:eastAsia="宋体" w:cs="宋体"/>
          <w:sz w:val="24"/>
          <w:szCs w:val="24"/>
        </w:rPr>
        <w:t xml:space="preserve"> 建立三维实景模型；建立HBIM模型，录入属性信息；建立数字孪生系统的传感器数据接口。</w:t>
      </w:r>
    </w:p>
    <w:p w14:paraId="433818FF">
      <w:pPr>
        <w:spacing w:after="120" w:line="360" w:lineRule="auto"/>
        <w:jc w:val="both"/>
      </w:pPr>
      <w:r>
        <w:rPr>
          <w:rFonts w:ascii="宋体" w:hAnsi="宋体" w:eastAsia="宋体" w:cs="宋体"/>
          <w:b/>
          <w:bCs/>
          <w:sz w:val="24"/>
          <w:szCs w:val="24"/>
        </w:rPr>
        <w:t>应用开发阶段。</w:t>
      </w:r>
      <w:r>
        <w:rPr>
          <w:rFonts w:ascii="宋体" w:hAnsi="宋体" w:eastAsia="宋体" w:cs="宋体"/>
          <w:sz w:val="24"/>
          <w:szCs w:val="24"/>
        </w:rPr>
        <w:t xml:space="preserve"> 开发虚拟导览、AR展示、病害监测、修缮模拟等应用。</w:t>
      </w:r>
    </w:p>
    <w:p w14:paraId="7F8D9C87">
      <w:pPr>
        <w:spacing w:after="120" w:line="360" w:lineRule="auto"/>
        <w:jc w:val="both"/>
      </w:pPr>
      <w:r>
        <w:rPr>
          <w:rFonts w:ascii="宋体" w:hAnsi="宋体" w:eastAsia="宋体" w:cs="宋体"/>
          <w:b/>
          <w:bCs/>
          <w:sz w:val="24"/>
          <w:szCs w:val="24"/>
        </w:rPr>
        <w:t>运维更新阶段。</w:t>
      </w:r>
      <w:r>
        <w:rPr>
          <w:rFonts w:ascii="宋体" w:hAnsi="宋体" w:eastAsia="宋体" w:cs="宋体"/>
          <w:sz w:val="24"/>
          <w:szCs w:val="24"/>
        </w:rPr>
        <w:t xml:space="preserve"> 定期更新数据，维护系统运行。</w:t>
      </w:r>
    </w:p>
    <w:p w14:paraId="633A6676">
      <w:pPr>
        <w:pStyle w:val="3"/>
        <w:spacing w:before="300" w:after="200"/>
      </w:pPr>
      <w:bookmarkStart w:id="130" w:name="_Toc20113"/>
      <w:r>
        <w:rPr>
          <w:rFonts w:ascii="黑体" w:hAnsi="黑体" w:eastAsia="黑体" w:cs="黑体"/>
          <w:b/>
          <w:bCs/>
          <w:color w:val="000000"/>
          <w:sz w:val="28"/>
          <w:szCs w:val="28"/>
        </w:rPr>
        <w:t>5.2 屯堡建筑三维数据采集</w:t>
      </w:r>
      <w:bookmarkEnd w:id="130"/>
    </w:p>
    <w:p w14:paraId="7CFE3599">
      <w:pPr>
        <w:pStyle w:val="4"/>
        <w:spacing w:before="300" w:after="200"/>
      </w:pPr>
      <w:bookmarkStart w:id="131" w:name="_Toc24736"/>
      <w:r>
        <w:rPr>
          <w:rFonts w:ascii="黑体" w:hAnsi="黑体" w:eastAsia="黑体" w:cs="黑体"/>
          <w:b/>
          <w:bCs/>
          <w:color w:val="000000"/>
          <w:sz w:val="26"/>
          <w:szCs w:val="26"/>
        </w:rPr>
        <w:t>5.2.1 地面激光扫描方案</w:t>
      </w:r>
      <w:bookmarkEnd w:id="131"/>
    </w:p>
    <w:p w14:paraId="3ECDA530">
      <w:pPr>
        <w:spacing w:after="120" w:line="360" w:lineRule="auto"/>
        <w:jc w:val="both"/>
      </w:pPr>
      <w:r>
        <w:rPr>
          <w:rFonts w:ascii="宋体" w:hAnsi="宋体" w:eastAsia="宋体" w:cs="宋体"/>
          <w:sz w:val="24"/>
          <w:szCs w:val="24"/>
        </w:rPr>
        <w:t>针对屯堡建筑的典型特征（石木结构、巷道狭窄、四合院围合），地面激光扫描需要特殊的技术方案。</w:t>
      </w:r>
    </w:p>
    <w:p w14:paraId="574DBD70">
      <w:pPr>
        <w:spacing w:after="120" w:line="360" w:lineRule="auto"/>
        <w:jc w:val="both"/>
      </w:pPr>
      <w:r>
        <w:rPr>
          <w:rFonts w:ascii="宋体" w:hAnsi="宋体" w:eastAsia="宋体" w:cs="宋体"/>
          <w:b/>
          <w:bCs/>
          <w:sz w:val="24"/>
          <w:szCs w:val="24"/>
        </w:rPr>
        <w:t>扫描站点布设。</w:t>
      </w:r>
      <w:r>
        <w:rPr>
          <w:rFonts w:ascii="宋体" w:hAnsi="宋体" w:eastAsia="宋体" w:cs="宋体"/>
          <w:sz w:val="24"/>
          <w:szCs w:val="24"/>
        </w:rPr>
        <w:t xml:space="preserve"> 屯堡巷道狭窄曲折，激光扫描仪的有效扫描距离受限。需要在巷道拐角处加密扫描站点，确保无死角覆盖。对于四合院，在院中央和四个角落各设一站，正房和厢房内部各设一站。</w:t>
      </w:r>
    </w:p>
    <w:p w14:paraId="6A8CBD30">
      <w:pPr>
        <w:spacing w:after="120" w:line="360" w:lineRule="auto"/>
        <w:jc w:val="both"/>
      </w:pPr>
      <w:r>
        <w:rPr>
          <w:rFonts w:ascii="宋体" w:hAnsi="宋体" w:eastAsia="宋体" w:cs="宋体"/>
          <w:b/>
          <w:bCs/>
          <w:sz w:val="24"/>
          <w:szCs w:val="24"/>
        </w:rPr>
        <w:t>标靶布设。</w:t>
      </w:r>
      <w:r>
        <w:rPr>
          <w:rFonts w:ascii="宋体" w:hAnsi="宋体" w:eastAsia="宋体" w:cs="宋体"/>
          <w:sz w:val="24"/>
          <w:szCs w:val="24"/>
        </w:rPr>
        <w:t xml:space="preserve"> 为保证多站扫描数据的精确配准，需要在相邻扫描站点的重叠区域布设球形标靶或平面标靶。标靶间距控制在10-15米，相邻站点至少有3个公共标靶。</w:t>
      </w:r>
    </w:p>
    <w:p w14:paraId="29DB812B">
      <w:pPr>
        <w:spacing w:after="120" w:line="360" w:lineRule="auto"/>
        <w:jc w:val="both"/>
      </w:pPr>
      <w:r>
        <w:rPr>
          <w:rFonts w:ascii="宋体" w:hAnsi="宋体" w:eastAsia="宋体" w:cs="宋体"/>
          <w:b/>
          <w:bCs/>
          <w:sz w:val="24"/>
          <w:szCs w:val="24"/>
        </w:rPr>
        <w:t>扫描参数设置。</w:t>
      </w:r>
      <w:r>
        <w:rPr>
          <w:rFonts w:ascii="宋体" w:hAnsi="宋体" w:eastAsia="宋体" w:cs="宋体"/>
          <w:sz w:val="24"/>
          <w:szCs w:val="24"/>
        </w:rPr>
        <w:t xml:space="preserve"> 根据屯堡建筑的材质特征（石材表面粗糙，有利于激光反射），扫描分辨率可设为6mm@10m（即10米处点间距6毫米），满足建筑测绘和HBIM建模的需求。对于木雕、石雕等精细部位，可采用2mm@10m的高分辨率扫描。</w:t>
      </w:r>
    </w:p>
    <w:p w14:paraId="4A3E9C18">
      <w:pPr>
        <w:pStyle w:val="4"/>
        <w:spacing w:before="300" w:after="200"/>
      </w:pPr>
      <w:bookmarkStart w:id="132" w:name="_Toc15827"/>
      <w:r>
        <w:rPr>
          <w:rFonts w:ascii="黑体" w:hAnsi="黑体" w:eastAsia="黑体" w:cs="黑体"/>
          <w:b/>
          <w:bCs/>
          <w:color w:val="000000"/>
          <w:sz w:val="26"/>
          <w:szCs w:val="26"/>
        </w:rPr>
        <w:t>5.2.2 无人机倾斜摄影方案</w:t>
      </w:r>
      <w:bookmarkEnd w:id="132"/>
    </w:p>
    <w:p w14:paraId="59F7D76D">
      <w:pPr>
        <w:spacing w:after="120" w:line="360" w:lineRule="auto"/>
        <w:jc w:val="both"/>
      </w:pPr>
      <w:r>
        <w:rPr>
          <w:rFonts w:ascii="宋体" w:hAnsi="宋体" w:eastAsia="宋体" w:cs="宋体"/>
          <w:sz w:val="24"/>
          <w:szCs w:val="24"/>
        </w:rPr>
        <w:t>无人机倾斜摄影用于获取屯堡建筑屋顶和村寨整体空间格局的三维数据。</w:t>
      </w:r>
    </w:p>
    <w:p w14:paraId="7BC13D96">
      <w:pPr>
        <w:spacing w:after="120" w:line="360" w:lineRule="auto"/>
        <w:jc w:val="both"/>
      </w:pPr>
      <w:r>
        <w:rPr>
          <w:rFonts w:ascii="宋体" w:hAnsi="宋体" w:eastAsia="宋体" w:cs="宋体"/>
          <w:b/>
          <w:bCs/>
          <w:sz w:val="24"/>
          <w:szCs w:val="24"/>
        </w:rPr>
        <w:t>飞行平台选择。</w:t>
      </w:r>
      <w:r>
        <w:rPr>
          <w:rFonts w:ascii="宋体" w:hAnsi="宋体" w:eastAsia="宋体" w:cs="宋体"/>
          <w:sz w:val="24"/>
          <w:szCs w:val="24"/>
        </w:rPr>
        <w:t xml:space="preserve"> 对于单个建筑，使用四旋翼无人机，飞行高度30-50米；对于整个村寨，使用固定翼或多旋翼无人机，飞行高度100-200米。云山屯依山而建，地形起伏较大，需要使用具备地形跟随功能的无人机。</w:t>
      </w:r>
    </w:p>
    <w:p w14:paraId="656F5EF5">
      <w:pPr>
        <w:spacing w:after="120" w:line="360" w:lineRule="auto"/>
        <w:jc w:val="both"/>
      </w:pPr>
      <w:r>
        <w:rPr>
          <w:rFonts w:ascii="宋体" w:hAnsi="宋体" w:eastAsia="宋体" w:cs="宋体"/>
          <w:b/>
          <w:bCs/>
          <w:sz w:val="24"/>
          <w:szCs w:val="24"/>
        </w:rPr>
        <w:t>航线规划。</w:t>
      </w:r>
      <w:r>
        <w:rPr>
          <w:rFonts w:ascii="宋体" w:hAnsi="宋体" w:eastAsia="宋体" w:cs="宋体"/>
          <w:sz w:val="24"/>
          <w:szCs w:val="24"/>
        </w:rPr>
        <w:t xml:space="preserve"> 采用"井"字形航线，即两组互相垂直的平行航线，确保对建筑物顶面和侧面均有充分覆盖。航向重叠度不低于80%，旁向重叠度不低于70%。对于碉楼等高层建筑，增加环绕飞行航线。</w:t>
      </w:r>
    </w:p>
    <w:p w14:paraId="55898783">
      <w:pPr>
        <w:spacing w:after="120" w:line="360" w:lineRule="auto"/>
        <w:jc w:val="both"/>
      </w:pPr>
      <w:r>
        <w:rPr>
          <w:rFonts w:ascii="宋体" w:hAnsi="宋体" w:eastAsia="宋体" w:cs="宋体"/>
          <w:b/>
          <w:bCs/>
          <w:sz w:val="24"/>
          <w:szCs w:val="24"/>
        </w:rPr>
        <w:t>地面控制点。</w:t>
      </w:r>
      <w:r>
        <w:rPr>
          <w:rFonts w:ascii="宋体" w:hAnsi="宋体" w:eastAsia="宋体" w:cs="宋体"/>
          <w:sz w:val="24"/>
          <w:szCs w:val="24"/>
        </w:rPr>
        <w:t xml:space="preserve"> 在村寨内均匀布设地面控制点（使用RTK-GPS精确测量坐标），用于空三解算和精度验证。控制点数量不少于5个，分布在村寨的四个角落和中心。</w:t>
      </w:r>
    </w:p>
    <w:p w14:paraId="4262261A">
      <w:pPr>
        <w:pStyle w:val="4"/>
        <w:spacing w:before="300" w:after="200"/>
      </w:pPr>
      <w:bookmarkStart w:id="133" w:name="_Toc16325"/>
      <w:r>
        <w:rPr>
          <w:rFonts w:ascii="黑体" w:hAnsi="黑体" w:eastAsia="黑体" w:cs="黑体"/>
          <w:b/>
          <w:bCs/>
          <w:color w:val="000000"/>
          <w:sz w:val="26"/>
          <w:szCs w:val="26"/>
        </w:rPr>
        <w:t>5.2.3 手持与近景扫描</w:t>
      </w:r>
      <w:bookmarkEnd w:id="133"/>
    </w:p>
    <w:p w14:paraId="219BB28B">
      <w:pPr>
        <w:spacing w:after="120" w:line="360" w:lineRule="auto"/>
        <w:jc w:val="both"/>
      </w:pPr>
      <w:r>
        <w:rPr>
          <w:rFonts w:ascii="宋体" w:hAnsi="宋体" w:eastAsia="宋体" w:cs="宋体"/>
          <w:sz w:val="24"/>
          <w:szCs w:val="24"/>
        </w:rPr>
        <w:t>对于门楼木雕、柱础石雕、地戏面具等精细构件，地面激光扫描仪的分辨率可能不够。需要使用手持激光扫描仪或结构光扫描仪进行近景精细扫描。</w:t>
      </w:r>
    </w:p>
    <w:p w14:paraId="0FBAFEB7">
      <w:pPr>
        <w:spacing w:after="120" w:line="360" w:lineRule="auto"/>
        <w:jc w:val="both"/>
      </w:pPr>
      <w:r>
        <w:rPr>
          <w:rFonts w:ascii="宋体" w:hAnsi="宋体" w:eastAsia="宋体" w:cs="宋体"/>
          <w:sz w:val="24"/>
          <w:szCs w:val="24"/>
        </w:rPr>
        <w:t>手持扫描仪的操作要点：保持扫描仪与被扫描物体距离15-30厘米；以均匀速度移动扫描仪，避免快速晃动；对深凹和遮蔽部位进行多角度补充扫描；实时检查扫描数据的完整性，及时补扫缺失区域。</w:t>
      </w:r>
    </w:p>
    <w:p w14:paraId="299B5BFF">
      <w:pPr>
        <w:pStyle w:val="3"/>
        <w:spacing w:before="300" w:after="200"/>
      </w:pPr>
      <w:bookmarkStart w:id="134" w:name="_Toc12859"/>
      <w:r>
        <w:rPr>
          <w:rFonts w:ascii="黑体" w:hAnsi="黑体" w:eastAsia="黑体" w:cs="黑体"/>
          <w:b/>
          <w:bCs/>
          <w:color w:val="000000"/>
          <w:sz w:val="28"/>
          <w:szCs w:val="28"/>
        </w:rPr>
        <w:t>5.3 屯堡建筑HBIM建模</w:t>
      </w:r>
      <w:bookmarkEnd w:id="134"/>
    </w:p>
    <w:p w14:paraId="56E0603B">
      <w:pPr>
        <w:pStyle w:val="4"/>
        <w:spacing w:before="300" w:after="200"/>
      </w:pPr>
      <w:bookmarkStart w:id="135" w:name="_Toc25386"/>
      <w:r>
        <w:rPr>
          <w:rFonts w:ascii="黑体" w:hAnsi="黑体" w:eastAsia="黑体" w:cs="黑体"/>
          <w:b/>
          <w:bCs/>
          <w:color w:val="000000"/>
          <w:sz w:val="26"/>
          <w:szCs w:val="26"/>
        </w:rPr>
        <w:t>5.3.1 屯堡建筑构件分类体系</w:t>
      </w:r>
      <w:bookmarkEnd w:id="135"/>
    </w:p>
    <w:p w14:paraId="69BD8993">
      <w:pPr>
        <w:spacing w:after="120" w:line="360" w:lineRule="auto"/>
        <w:jc w:val="both"/>
      </w:pPr>
      <w:r>
        <w:rPr>
          <w:rFonts w:ascii="宋体" w:hAnsi="宋体" w:eastAsia="宋体" w:cs="宋体"/>
          <w:sz w:val="24"/>
          <w:szCs w:val="24"/>
        </w:rPr>
        <w:t>HBIM建模的第一步是建立屯堡建筑构件的分类体系。不同于现代建筑的标准化构件，屯堡建筑构件多为手工制作，尺寸、形态各异。需要在BIM软件的族库中创建屯堡建筑专用构件族。</w:t>
      </w:r>
    </w:p>
    <w:p w14:paraId="53CA20A1">
      <w:pPr>
        <w:spacing w:after="120" w:line="360" w:lineRule="auto"/>
        <w:jc w:val="both"/>
      </w:pPr>
      <w:r>
        <w:rPr>
          <w:rFonts w:ascii="宋体" w:hAnsi="宋体" w:eastAsia="宋体" w:cs="宋体"/>
          <w:sz w:val="24"/>
          <w:szCs w:val="24"/>
        </w:rPr>
        <w:t>建议的构件分类体系：</w:t>
      </w:r>
    </w:p>
    <w:p w14:paraId="6F22AD2B">
      <w:pPr>
        <w:spacing w:after="120" w:line="360" w:lineRule="auto"/>
        <w:jc w:val="both"/>
      </w:pPr>
      <w:r>
        <w:rPr>
          <w:rFonts w:ascii="宋体" w:hAnsi="宋体" w:eastAsia="宋体" w:cs="宋体"/>
          <w:b/>
          <w:bCs/>
          <w:sz w:val="24"/>
          <w:szCs w:val="24"/>
        </w:rPr>
        <w:t>基础与墙体。</w:t>
      </w:r>
      <w:r>
        <w:rPr>
          <w:rFonts w:ascii="宋体" w:hAnsi="宋体" w:eastAsia="宋体" w:cs="宋体"/>
          <w:sz w:val="24"/>
          <w:szCs w:val="24"/>
        </w:rPr>
        <w:t xml:space="preserve"> 毛石基础、片石外墙、木板内墙、石砌院墙等。</w:t>
      </w:r>
    </w:p>
    <w:p w14:paraId="0EDE2722">
      <w:pPr>
        <w:spacing w:after="120" w:line="360" w:lineRule="auto"/>
        <w:jc w:val="both"/>
      </w:pPr>
      <w:r>
        <w:rPr>
          <w:rFonts w:ascii="宋体" w:hAnsi="宋体" w:eastAsia="宋体" w:cs="宋体"/>
          <w:b/>
          <w:bCs/>
          <w:sz w:val="24"/>
          <w:szCs w:val="24"/>
        </w:rPr>
        <w:t>木构架。</w:t>
      </w:r>
      <w:r>
        <w:rPr>
          <w:rFonts w:ascii="宋体" w:hAnsi="宋体" w:eastAsia="宋体" w:cs="宋体"/>
          <w:sz w:val="24"/>
          <w:szCs w:val="24"/>
        </w:rPr>
        <w:t xml:space="preserve"> 穿斗式木构架、抬梁式木构架、檩条、椽子等。</w:t>
      </w:r>
    </w:p>
    <w:p w14:paraId="1AD9F6F9">
      <w:pPr>
        <w:spacing w:after="120" w:line="360" w:lineRule="auto"/>
        <w:jc w:val="both"/>
      </w:pPr>
      <w:r>
        <w:rPr>
          <w:rFonts w:ascii="宋体" w:hAnsi="宋体" w:eastAsia="宋体" w:cs="宋体"/>
          <w:b/>
          <w:bCs/>
          <w:sz w:val="24"/>
          <w:szCs w:val="24"/>
        </w:rPr>
        <w:t>屋顶。</w:t>
      </w:r>
      <w:r>
        <w:rPr>
          <w:rFonts w:ascii="宋体" w:hAnsi="宋体" w:eastAsia="宋体" w:cs="宋体"/>
          <w:sz w:val="24"/>
          <w:szCs w:val="24"/>
        </w:rPr>
        <w:t xml:space="preserve"> 石板屋面、小青瓦屋面、屋脊、翘角等。</w:t>
      </w:r>
    </w:p>
    <w:p w14:paraId="092E8064">
      <w:pPr>
        <w:spacing w:after="120" w:line="360" w:lineRule="auto"/>
        <w:jc w:val="both"/>
      </w:pPr>
      <w:r>
        <w:rPr>
          <w:rFonts w:ascii="宋体" w:hAnsi="宋体" w:eastAsia="宋体" w:cs="宋体"/>
          <w:b/>
          <w:bCs/>
          <w:sz w:val="24"/>
          <w:szCs w:val="24"/>
        </w:rPr>
        <w:t>门窗。</w:t>
      </w:r>
      <w:r>
        <w:rPr>
          <w:rFonts w:ascii="宋体" w:hAnsi="宋体" w:eastAsia="宋体" w:cs="宋体"/>
          <w:sz w:val="24"/>
          <w:szCs w:val="24"/>
        </w:rPr>
        <w:t xml:space="preserve"> 石框木门、木雕花窗、石窗棂等。</w:t>
      </w:r>
    </w:p>
    <w:p w14:paraId="3353E7B6">
      <w:pPr>
        <w:spacing w:after="120" w:line="360" w:lineRule="auto"/>
        <w:jc w:val="both"/>
      </w:pPr>
      <w:r>
        <w:rPr>
          <w:rFonts w:ascii="宋体" w:hAnsi="宋体" w:eastAsia="宋体" w:cs="宋体"/>
          <w:b/>
          <w:bCs/>
          <w:sz w:val="24"/>
          <w:szCs w:val="24"/>
        </w:rPr>
        <w:t>装饰构件。</w:t>
      </w:r>
      <w:r>
        <w:rPr>
          <w:rFonts w:ascii="宋体" w:hAnsi="宋体" w:eastAsia="宋体" w:cs="宋体"/>
          <w:sz w:val="24"/>
          <w:szCs w:val="24"/>
        </w:rPr>
        <w:t xml:space="preserve"> 木雕雀替、石雕柱础、砖雕门楣、垂花柱等。</w:t>
      </w:r>
    </w:p>
    <w:p w14:paraId="235F6552">
      <w:pPr>
        <w:spacing w:after="120" w:line="360" w:lineRule="auto"/>
        <w:jc w:val="both"/>
      </w:pPr>
      <w:r>
        <w:rPr>
          <w:rFonts w:ascii="宋体" w:hAnsi="宋体" w:eastAsia="宋体" w:cs="宋体"/>
          <w:b/>
          <w:bCs/>
          <w:sz w:val="24"/>
          <w:szCs w:val="24"/>
        </w:rPr>
        <w:t>防御构件。</w:t>
      </w:r>
      <w:r>
        <w:rPr>
          <w:rFonts w:ascii="宋体" w:hAnsi="宋体" w:eastAsia="宋体" w:cs="宋体"/>
          <w:sz w:val="24"/>
          <w:szCs w:val="24"/>
        </w:rPr>
        <w:t xml:space="preserve"> 碉楼、枪眼、箭孔、女儿墙垛口等。</w:t>
      </w:r>
    </w:p>
    <w:p w14:paraId="59B5C695">
      <w:pPr>
        <w:pStyle w:val="4"/>
        <w:spacing w:before="300" w:after="200"/>
      </w:pPr>
      <w:bookmarkStart w:id="136" w:name="_Toc9179"/>
      <w:r>
        <w:rPr>
          <w:rFonts w:ascii="黑体" w:hAnsi="黑体" w:eastAsia="黑体" w:cs="黑体"/>
          <w:b/>
          <w:bCs/>
          <w:color w:val="000000"/>
          <w:sz w:val="26"/>
          <w:szCs w:val="26"/>
        </w:rPr>
        <w:t>5.3.2 从点云到HBIM的建模方法</w:t>
      </w:r>
      <w:bookmarkEnd w:id="136"/>
    </w:p>
    <w:p w14:paraId="5B3B8BB8">
      <w:pPr>
        <w:spacing w:after="120" w:line="360" w:lineRule="auto"/>
        <w:jc w:val="both"/>
      </w:pPr>
      <w:r>
        <w:rPr>
          <w:rFonts w:ascii="宋体" w:hAnsi="宋体" w:eastAsia="宋体" w:cs="宋体"/>
          <w:sz w:val="24"/>
          <w:szCs w:val="24"/>
        </w:rPr>
        <w:t>屯堡建筑HBIM建模的核心挑战是从不规则的点云数据中提取规则的建筑构件几何信息。主要有三种建模方法：</w:t>
      </w:r>
    </w:p>
    <w:p w14:paraId="0D7309EC">
      <w:pPr>
        <w:spacing w:after="120" w:line="360" w:lineRule="auto"/>
        <w:jc w:val="both"/>
      </w:pPr>
      <w:r>
        <w:rPr>
          <w:rFonts w:ascii="宋体" w:hAnsi="宋体" w:eastAsia="宋体" w:cs="宋体"/>
          <w:b/>
          <w:bCs/>
          <w:sz w:val="24"/>
          <w:szCs w:val="24"/>
        </w:rPr>
        <w:t>手动建模。</w:t>
      </w:r>
      <w:r>
        <w:rPr>
          <w:rFonts w:ascii="宋体" w:hAnsi="宋体" w:eastAsia="宋体" w:cs="宋体"/>
          <w:sz w:val="24"/>
          <w:szCs w:val="24"/>
        </w:rPr>
        <w:t xml:space="preserve"> 在Revit等BIM软件中，以点云为参考手动绘制构件。优点是模型规整、属性完整，缺点是效率低，适用于重点建筑的精细化建模。</w:t>
      </w:r>
    </w:p>
    <w:p w14:paraId="33370662">
      <w:pPr>
        <w:spacing w:after="120" w:line="360" w:lineRule="auto"/>
        <w:jc w:val="both"/>
      </w:pPr>
      <w:r>
        <w:rPr>
          <w:rFonts w:ascii="宋体" w:hAnsi="宋体" w:eastAsia="宋体" w:cs="宋体"/>
          <w:b/>
          <w:bCs/>
          <w:sz w:val="24"/>
          <w:szCs w:val="24"/>
        </w:rPr>
        <w:t>半自动建模。</w:t>
      </w:r>
      <w:r>
        <w:rPr>
          <w:rFonts w:ascii="宋体" w:hAnsi="宋体" w:eastAsia="宋体" w:cs="宋体"/>
          <w:sz w:val="24"/>
          <w:szCs w:val="24"/>
        </w:rPr>
        <w:t xml:space="preserve"> 利用点云分割算法自动识别墙体、地面、天花板等平面构件，再由人工调整和补充。效率高于全手动，但需要人工校验。</w:t>
      </w:r>
    </w:p>
    <w:p w14:paraId="3F155B13">
      <w:pPr>
        <w:spacing w:after="120" w:line="360" w:lineRule="auto"/>
        <w:jc w:val="both"/>
      </w:pPr>
      <w:r>
        <w:rPr>
          <w:rFonts w:ascii="宋体" w:hAnsi="宋体" w:eastAsia="宋体" w:cs="宋体"/>
          <w:b/>
          <w:bCs/>
          <w:sz w:val="24"/>
          <w:szCs w:val="24"/>
        </w:rPr>
        <w:t>Scan-to-BIM自动化。</w:t>
      </w:r>
      <w:r>
        <w:rPr>
          <w:rFonts w:ascii="宋体" w:hAnsi="宋体" w:eastAsia="宋体" w:cs="宋体"/>
          <w:sz w:val="24"/>
          <w:szCs w:val="24"/>
        </w:rPr>
        <w:t xml:space="preserve"> 利用机器学习算法从点云中自动识别建筑构件并生成BIM模型。效率最高，但对点云质量和算法要求高，目前仍处于研发阶段，适用于大范围的二级、三级数字化。</w:t>
      </w:r>
    </w:p>
    <w:p w14:paraId="3FB73143">
      <w:pPr>
        <w:spacing w:after="120" w:line="360" w:lineRule="auto"/>
        <w:jc w:val="both"/>
      </w:pPr>
      <w:r>
        <w:rPr>
          <w:rFonts w:ascii="宋体" w:hAnsi="宋体" w:eastAsia="宋体" w:cs="宋体"/>
          <w:sz w:val="24"/>
          <w:szCs w:val="24"/>
        </w:rPr>
        <w:t>对于屯堡建筑，建议对一级建筑采用手动+半自动混合建模，确保精度和完整性；对二级、三级建筑采用半自动+自动化建模，提高效率。</w:t>
      </w:r>
    </w:p>
    <w:p w14:paraId="32618E2D">
      <w:pPr>
        <w:pStyle w:val="4"/>
        <w:spacing w:before="300" w:after="200"/>
      </w:pPr>
      <w:bookmarkStart w:id="137" w:name="_Toc25082"/>
      <w:r>
        <w:rPr>
          <w:rFonts w:ascii="黑体" w:hAnsi="黑体" w:eastAsia="黑体" w:cs="黑体"/>
          <w:b/>
          <w:bCs/>
          <w:color w:val="000000"/>
          <w:sz w:val="26"/>
          <w:szCs w:val="26"/>
        </w:rPr>
        <w:t>5.3.3 属性信息录入</w:t>
      </w:r>
      <w:bookmarkEnd w:id="137"/>
    </w:p>
    <w:p w14:paraId="375AEBAA">
      <w:pPr>
        <w:spacing w:after="120" w:line="360" w:lineRule="auto"/>
        <w:jc w:val="both"/>
      </w:pPr>
      <w:r>
        <w:rPr>
          <w:rFonts w:ascii="宋体" w:hAnsi="宋体" w:eastAsia="宋体" w:cs="宋体"/>
          <w:sz w:val="24"/>
          <w:szCs w:val="24"/>
        </w:rPr>
        <w:t>HBIM模型的价值不仅在于几何信息，更在于丰富的属性信息。屯堡建筑HBIM模型中应录入的属性包括：</w:t>
      </w:r>
    </w:p>
    <w:p w14:paraId="0EC725A0">
      <w:pPr>
        <w:spacing w:after="120" w:line="360" w:lineRule="auto"/>
        <w:jc w:val="both"/>
      </w:pPr>
      <w:r>
        <w:rPr>
          <w:rFonts w:ascii="宋体" w:hAnsi="宋体" w:eastAsia="宋体" w:cs="宋体"/>
          <w:b/>
          <w:bCs/>
          <w:sz w:val="24"/>
          <w:szCs w:val="24"/>
        </w:rPr>
        <w:t>基本信息。</w:t>
      </w:r>
      <w:r>
        <w:rPr>
          <w:rFonts w:ascii="宋体" w:hAnsi="宋体" w:eastAsia="宋体" w:cs="宋体"/>
          <w:sz w:val="24"/>
          <w:szCs w:val="24"/>
        </w:rPr>
        <w:t xml:space="preserve"> 建筑名称、地址、GPS坐标、占地面积、建筑面积、层数。</w:t>
      </w:r>
    </w:p>
    <w:p w14:paraId="5AC564B2">
      <w:pPr>
        <w:spacing w:after="120" w:line="360" w:lineRule="auto"/>
        <w:jc w:val="both"/>
      </w:pPr>
      <w:r>
        <w:rPr>
          <w:rFonts w:ascii="宋体" w:hAnsi="宋体" w:eastAsia="宋体" w:cs="宋体"/>
          <w:b/>
          <w:bCs/>
          <w:sz w:val="24"/>
          <w:szCs w:val="24"/>
        </w:rPr>
        <w:t>历史信息。</w:t>
      </w:r>
      <w:r>
        <w:rPr>
          <w:rFonts w:ascii="宋体" w:hAnsi="宋体" w:eastAsia="宋体" w:cs="宋体"/>
          <w:sz w:val="24"/>
          <w:szCs w:val="24"/>
        </w:rPr>
        <w:t xml:space="preserve"> 始建年代、修缮记录、历史功能、产权沿革。</w:t>
      </w:r>
    </w:p>
    <w:p w14:paraId="441139F7">
      <w:pPr>
        <w:spacing w:after="120" w:line="360" w:lineRule="auto"/>
        <w:jc w:val="both"/>
      </w:pPr>
      <w:r>
        <w:rPr>
          <w:rFonts w:ascii="宋体" w:hAnsi="宋体" w:eastAsia="宋体" w:cs="宋体"/>
          <w:b/>
          <w:bCs/>
          <w:sz w:val="24"/>
          <w:szCs w:val="24"/>
        </w:rPr>
        <w:t>材料信息。</w:t>
      </w:r>
      <w:r>
        <w:rPr>
          <w:rFonts w:ascii="宋体" w:hAnsi="宋体" w:eastAsia="宋体" w:cs="宋体"/>
          <w:sz w:val="24"/>
          <w:szCs w:val="24"/>
        </w:rPr>
        <w:t xml:space="preserve"> 石材类型（石灰岩/白云岩/砂岩）、木材树种、瓦片类型。</w:t>
      </w:r>
    </w:p>
    <w:p w14:paraId="63E2BDD4">
      <w:pPr>
        <w:spacing w:after="120" w:line="360" w:lineRule="auto"/>
        <w:jc w:val="both"/>
      </w:pPr>
      <w:r>
        <w:rPr>
          <w:rFonts w:ascii="宋体" w:hAnsi="宋体" w:eastAsia="宋体" w:cs="宋体"/>
          <w:b/>
          <w:bCs/>
          <w:sz w:val="24"/>
          <w:szCs w:val="24"/>
        </w:rPr>
        <w:t>结构信息。</w:t>
      </w:r>
      <w:r>
        <w:rPr>
          <w:rFonts w:ascii="宋体" w:hAnsi="宋体" w:eastAsia="宋体" w:cs="宋体"/>
          <w:sz w:val="24"/>
          <w:szCs w:val="24"/>
        </w:rPr>
        <w:t xml:space="preserve"> 结构体系（石木结构/纯木结构）、承重方式、基础类型。</w:t>
      </w:r>
    </w:p>
    <w:p w14:paraId="1425739F">
      <w:pPr>
        <w:spacing w:after="120" w:line="360" w:lineRule="auto"/>
        <w:jc w:val="both"/>
      </w:pPr>
      <w:r>
        <w:rPr>
          <w:rFonts w:ascii="宋体" w:hAnsi="宋体" w:eastAsia="宋体" w:cs="宋体"/>
          <w:b/>
          <w:bCs/>
          <w:sz w:val="24"/>
          <w:szCs w:val="24"/>
        </w:rPr>
        <w:t>病害信息。</w:t>
      </w:r>
      <w:r>
        <w:rPr>
          <w:rFonts w:ascii="宋体" w:hAnsi="宋体" w:eastAsia="宋体" w:cs="宋体"/>
          <w:sz w:val="24"/>
          <w:szCs w:val="24"/>
        </w:rPr>
        <w:t xml:space="preserve"> 裂缝位置与尺寸、倾斜变形量、木材腐朽程度、石料风化等级。</w:t>
      </w:r>
    </w:p>
    <w:p w14:paraId="4C1DF7CA">
      <w:pPr>
        <w:spacing w:after="120" w:line="360" w:lineRule="auto"/>
        <w:jc w:val="both"/>
      </w:pPr>
      <w:r>
        <w:rPr>
          <w:rFonts w:ascii="宋体" w:hAnsi="宋体" w:eastAsia="宋体" w:cs="宋体"/>
          <w:b/>
          <w:bCs/>
          <w:sz w:val="24"/>
          <w:szCs w:val="24"/>
        </w:rPr>
        <w:t>保护信息。</w:t>
      </w:r>
      <w:r>
        <w:rPr>
          <w:rFonts w:ascii="宋体" w:hAnsi="宋体" w:eastAsia="宋体" w:cs="宋体"/>
          <w:sz w:val="24"/>
          <w:szCs w:val="24"/>
        </w:rPr>
        <w:t xml:space="preserve"> 保护级别、保护范围、责任单位、最近一次修缮时间。</w:t>
      </w:r>
    </w:p>
    <w:p w14:paraId="2A3C80C4">
      <w:pPr>
        <w:pStyle w:val="4"/>
        <w:spacing w:before="300" w:after="200"/>
      </w:pPr>
      <w:bookmarkStart w:id="138" w:name="_Toc30453"/>
      <w:r>
        <w:rPr>
          <w:rFonts w:ascii="黑体" w:hAnsi="黑体" w:eastAsia="黑体" w:cs="黑体"/>
          <w:b/>
          <w:bCs/>
          <w:color w:val="000000"/>
          <w:sz w:val="26"/>
          <w:szCs w:val="26"/>
        </w:rPr>
        <w:t>5.3.4 典型案例：杨家老宅HBIM模型</w:t>
      </w:r>
      <w:bookmarkEnd w:id="138"/>
    </w:p>
    <w:p w14:paraId="1476B8BD">
      <w:pPr>
        <w:spacing w:after="120" w:line="360" w:lineRule="auto"/>
        <w:jc w:val="both"/>
      </w:pPr>
      <w:r>
        <w:rPr>
          <w:rFonts w:ascii="宋体" w:hAnsi="宋体" w:eastAsia="宋体" w:cs="宋体"/>
          <w:sz w:val="24"/>
          <w:szCs w:val="24"/>
        </w:rPr>
        <w:t>以本寨杨家老宅为例，HBIM建模的具体实施包括：</w:t>
      </w:r>
    </w:p>
    <w:p w14:paraId="5397877A">
      <w:pPr>
        <w:spacing w:after="120" w:line="360" w:lineRule="auto"/>
        <w:jc w:val="both"/>
      </w:pPr>
      <w:r>
        <w:rPr>
          <w:rFonts w:ascii="宋体" w:hAnsi="宋体" w:eastAsia="宋体" w:cs="宋体"/>
          <w:sz w:val="24"/>
          <w:szCs w:val="24"/>
        </w:rPr>
        <w:t>建筑整体模型包含正房、东西厢房、门楼、天井共4个主要空间，以及石墙、木构架、石板屋面、木雕花窗等120余个构件。每个构件录入了材料、年代、工艺等属性信息。病害模块记录了正房西墙的3条裂缝、东厢房柱础的倾斜变形、门楼木雕的风化状况。修缮记录模块集成了2008年、2015年和2024年三次修缮的详细信息。</w:t>
      </w:r>
    </w:p>
    <w:p w14:paraId="1DFD893D">
      <w:pPr>
        <w:pStyle w:val="3"/>
        <w:spacing w:before="300" w:after="200"/>
      </w:pPr>
      <w:bookmarkStart w:id="139" w:name="_Toc6705"/>
      <w:r>
        <w:rPr>
          <w:rFonts w:ascii="黑体" w:hAnsi="黑体" w:eastAsia="黑体" w:cs="黑体"/>
          <w:b/>
          <w:bCs/>
          <w:color w:val="000000"/>
          <w:sz w:val="28"/>
          <w:szCs w:val="28"/>
        </w:rPr>
        <w:t>5.4 屯堡村寨空间格局的数字化分析</w:t>
      </w:r>
      <w:bookmarkEnd w:id="139"/>
    </w:p>
    <w:p w14:paraId="744850CD">
      <w:pPr>
        <w:pStyle w:val="4"/>
        <w:spacing w:before="300" w:after="200"/>
      </w:pPr>
      <w:bookmarkStart w:id="140" w:name="_Toc22886"/>
      <w:r>
        <w:rPr>
          <w:rFonts w:ascii="黑体" w:hAnsi="黑体" w:eastAsia="黑体" w:cs="黑体"/>
          <w:b/>
          <w:bCs/>
          <w:color w:val="000000"/>
          <w:sz w:val="26"/>
          <w:szCs w:val="26"/>
        </w:rPr>
        <w:t>5.4.1 GIS空间分析</w:t>
      </w:r>
      <w:bookmarkEnd w:id="140"/>
    </w:p>
    <w:p w14:paraId="5A553D14">
      <w:pPr>
        <w:spacing w:after="120" w:line="360" w:lineRule="auto"/>
        <w:jc w:val="both"/>
      </w:pPr>
      <w:r>
        <w:rPr>
          <w:rFonts w:ascii="宋体" w:hAnsi="宋体" w:eastAsia="宋体" w:cs="宋体"/>
          <w:sz w:val="24"/>
          <w:szCs w:val="24"/>
        </w:rPr>
        <w:t>将屯堡村寨的数字化数据导入GIS平台，可以进行多维度空间分析：</w:t>
      </w:r>
    </w:p>
    <w:p w14:paraId="43340DC0">
      <w:pPr>
        <w:spacing w:after="120" w:line="360" w:lineRule="auto"/>
        <w:jc w:val="both"/>
      </w:pPr>
      <w:r>
        <w:rPr>
          <w:rFonts w:ascii="宋体" w:hAnsi="宋体" w:eastAsia="宋体" w:cs="宋体"/>
          <w:b/>
          <w:bCs/>
          <w:sz w:val="24"/>
          <w:szCs w:val="24"/>
        </w:rPr>
        <w:t>聚落分布分析。</w:t>
      </w:r>
      <w:r>
        <w:rPr>
          <w:rFonts w:ascii="宋体" w:hAnsi="宋体" w:eastAsia="宋体" w:cs="宋体"/>
          <w:sz w:val="24"/>
          <w:szCs w:val="24"/>
        </w:rPr>
        <w:t xml:space="preserve"> 利用核密度分析、最近邻分析等方法，研究屯堡村寨在黔中地区的空间分布规律及其与驿道、河流、地形的关系。</w:t>
      </w:r>
    </w:p>
    <w:p w14:paraId="6A113ACC">
      <w:pPr>
        <w:spacing w:after="120" w:line="360" w:lineRule="auto"/>
        <w:jc w:val="both"/>
      </w:pPr>
      <w:r>
        <w:rPr>
          <w:rFonts w:ascii="宋体" w:hAnsi="宋体" w:eastAsia="宋体" w:cs="宋体"/>
          <w:b/>
          <w:bCs/>
          <w:sz w:val="24"/>
          <w:szCs w:val="24"/>
        </w:rPr>
        <w:t>空间形态分析。</w:t>
      </w:r>
      <w:r>
        <w:rPr>
          <w:rFonts w:ascii="宋体" w:hAnsi="宋体" w:eastAsia="宋体" w:cs="宋体"/>
          <w:sz w:val="24"/>
          <w:szCs w:val="24"/>
        </w:rPr>
        <w:t xml:space="preserve"> 利用空间句法（Space Syntax）理论，分析屯堡村寨的道路网络结构和空间可达性，揭示巷道系统的防御逻辑。</w:t>
      </w:r>
    </w:p>
    <w:p w14:paraId="5BF5E4CF">
      <w:pPr>
        <w:spacing w:after="120" w:line="360" w:lineRule="auto"/>
        <w:jc w:val="both"/>
      </w:pPr>
      <w:r>
        <w:rPr>
          <w:rFonts w:ascii="宋体" w:hAnsi="宋体" w:eastAsia="宋体" w:cs="宋体"/>
          <w:b/>
          <w:bCs/>
          <w:sz w:val="24"/>
          <w:szCs w:val="24"/>
        </w:rPr>
        <w:t>景观视域分析。</w:t>
      </w:r>
      <w:r>
        <w:rPr>
          <w:rFonts w:ascii="宋体" w:hAnsi="宋体" w:eastAsia="宋体" w:cs="宋体"/>
          <w:sz w:val="24"/>
          <w:szCs w:val="24"/>
        </w:rPr>
        <w:t xml:space="preserve"> 分析屯堡村寨中碉楼、寨门等关键位置的视域范围，验证其军事瞭望和防御功能。</w:t>
      </w:r>
    </w:p>
    <w:p w14:paraId="383CBC67">
      <w:pPr>
        <w:spacing w:after="120" w:line="360" w:lineRule="auto"/>
        <w:jc w:val="both"/>
      </w:pPr>
      <w:r>
        <w:rPr>
          <w:rFonts w:ascii="宋体" w:hAnsi="宋体" w:eastAsia="宋体" w:cs="宋体"/>
          <w:b/>
          <w:bCs/>
          <w:sz w:val="24"/>
          <w:szCs w:val="24"/>
        </w:rPr>
        <w:t>地形适应性分析。</w:t>
      </w:r>
      <w:r>
        <w:rPr>
          <w:rFonts w:ascii="宋体" w:hAnsi="宋体" w:eastAsia="宋体" w:cs="宋体"/>
          <w:sz w:val="24"/>
          <w:szCs w:val="24"/>
        </w:rPr>
        <w:t xml:space="preserve"> 利用DEM（数字高程模型）分析屯堡村寨选址与地形的关系，计算坡度、坡向、高程等参数。</w:t>
      </w:r>
    </w:p>
    <w:p w14:paraId="03438C0C">
      <w:pPr>
        <w:pStyle w:val="4"/>
        <w:spacing w:before="300" w:after="200"/>
      </w:pPr>
      <w:bookmarkStart w:id="141" w:name="_Toc29373"/>
      <w:r>
        <w:rPr>
          <w:rFonts w:ascii="黑体" w:hAnsi="黑体" w:eastAsia="黑体" w:cs="黑体"/>
          <w:b/>
          <w:bCs/>
          <w:color w:val="000000"/>
          <w:sz w:val="26"/>
          <w:szCs w:val="26"/>
        </w:rPr>
        <w:t>5.4.2 屯堡文化地理信息系统</w:t>
      </w:r>
      <w:bookmarkEnd w:id="141"/>
    </w:p>
    <w:p w14:paraId="33C544CE">
      <w:pPr>
        <w:spacing w:after="120" w:line="360" w:lineRule="auto"/>
        <w:jc w:val="both"/>
      </w:pPr>
      <w:r>
        <w:rPr>
          <w:rFonts w:ascii="宋体" w:hAnsi="宋体" w:eastAsia="宋体" w:cs="宋体"/>
          <w:sz w:val="24"/>
          <w:szCs w:val="24"/>
        </w:rPr>
        <w:t>在通用GIS平台基础上，建设专门的"屯堡文化地理信息系统"，整合多源数据：</w:t>
      </w:r>
    </w:p>
    <w:p w14:paraId="2546FC1C">
      <w:pPr>
        <w:spacing w:after="120" w:line="360" w:lineRule="auto"/>
        <w:jc w:val="both"/>
      </w:pPr>
      <w:r>
        <w:rPr>
          <w:rFonts w:ascii="宋体" w:hAnsi="宋体" w:eastAsia="宋体" w:cs="宋体"/>
          <w:b/>
          <w:bCs/>
          <w:sz w:val="24"/>
          <w:szCs w:val="24"/>
        </w:rPr>
        <w:t>基础地理数据。</w:t>
      </w:r>
      <w:r>
        <w:rPr>
          <w:rFonts w:ascii="宋体" w:hAnsi="宋体" w:eastAsia="宋体" w:cs="宋体"/>
          <w:sz w:val="24"/>
          <w:szCs w:val="24"/>
        </w:rPr>
        <w:t xml:space="preserve"> 地形图、卫星影像、行政区划、道路交通。</w:t>
      </w:r>
    </w:p>
    <w:p w14:paraId="3D81CA98">
      <w:pPr>
        <w:spacing w:after="120" w:line="360" w:lineRule="auto"/>
        <w:jc w:val="both"/>
      </w:pPr>
      <w:r>
        <w:rPr>
          <w:rFonts w:ascii="宋体" w:hAnsi="宋体" w:eastAsia="宋体" w:cs="宋体"/>
          <w:b/>
          <w:bCs/>
          <w:sz w:val="24"/>
          <w:szCs w:val="24"/>
        </w:rPr>
        <w:t>文化遗产数据。</w:t>
      </w:r>
      <w:r>
        <w:rPr>
          <w:rFonts w:ascii="宋体" w:hAnsi="宋体" w:eastAsia="宋体" w:cs="宋体"/>
          <w:sz w:val="24"/>
          <w:szCs w:val="24"/>
        </w:rPr>
        <w:t xml:space="preserve"> 屯堡村寨分布、文物保护单位范围、建筑三维模型、非遗项目位置。</w:t>
      </w:r>
    </w:p>
    <w:p w14:paraId="7E4E1B91">
      <w:pPr>
        <w:spacing w:after="120" w:line="360" w:lineRule="auto"/>
        <w:jc w:val="both"/>
      </w:pPr>
      <w:r>
        <w:rPr>
          <w:rFonts w:ascii="宋体" w:hAnsi="宋体" w:eastAsia="宋体" w:cs="宋体"/>
          <w:b/>
          <w:bCs/>
          <w:sz w:val="24"/>
          <w:szCs w:val="24"/>
        </w:rPr>
        <w:t>旅游服务数据。</w:t>
      </w:r>
      <w:r>
        <w:rPr>
          <w:rFonts w:ascii="宋体" w:hAnsi="宋体" w:eastAsia="宋体" w:cs="宋体"/>
          <w:sz w:val="24"/>
          <w:szCs w:val="24"/>
        </w:rPr>
        <w:t xml:space="preserve"> 景区景点、住宿餐饮、停车场、游客中心。</w:t>
      </w:r>
    </w:p>
    <w:p w14:paraId="307EA855">
      <w:pPr>
        <w:spacing w:after="120" w:line="360" w:lineRule="auto"/>
        <w:jc w:val="both"/>
      </w:pPr>
      <w:r>
        <w:rPr>
          <w:rFonts w:ascii="宋体" w:hAnsi="宋体" w:eastAsia="宋体" w:cs="宋体"/>
          <w:b/>
          <w:bCs/>
          <w:sz w:val="24"/>
          <w:szCs w:val="24"/>
        </w:rPr>
        <w:t>监测数据。</w:t>
      </w:r>
      <w:r>
        <w:rPr>
          <w:rFonts w:ascii="宋体" w:hAnsi="宋体" w:eastAsia="宋体" w:cs="宋体"/>
          <w:sz w:val="24"/>
          <w:szCs w:val="24"/>
        </w:rPr>
        <w:t xml:space="preserve"> 环境监测站数据、建筑结构健康监测数据、游客流量数据。</w:t>
      </w:r>
    </w:p>
    <w:p w14:paraId="0C38687D">
      <w:pPr>
        <w:spacing w:after="120" w:line="360" w:lineRule="auto"/>
        <w:jc w:val="both"/>
      </w:pPr>
      <w:r>
        <w:rPr>
          <w:rFonts w:ascii="宋体" w:hAnsi="宋体" w:eastAsia="宋体" w:cs="宋体"/>
          <w:sz w:val="24"/>
          <w:szCs w:val="24"/>
        </w:rPr>
        <w:t>该系统可以为屯堡文化遗产的保护管理、旅游规划、科学研究提供统一的空间数据平台。</w:t>
      </w:r>
    </w:p>
    <w:p w14:paraId="5F50EF86">
      <w:pPr>
        <w:pStyle w:val="3"/>
        <w:spacing w:before="300" w:after="200"/>
      </w:pPr>
      <w:bookmarkStart w:id="142" w:name="_Toc27845"/>
      <w:r>
        <w:rPr>
          <w:rFonts w:ascii="黑体" w:hAnsi="黑体" w:eastAsia="黑体" w:cs="黑体"/>
          <w:b/>
          <w:bCs/>
          <w:color w:val="000000"/>
          <w:sz w:val="28"/>
          <w:szCs w:val="28"/>
        </w:rPr>
        <w:t>5.5 屯堡建筑数字孪生</w:t>
      </w:r>
      <w:bookmarkEnd w:id="142"/>
    </w:p>
    <w:p w14:paraId="3130ADF8">
      <w:pPr>
        <w:pStyle w:val="4"/>
        <w:spacing w:before="300" w:after="200"/>
      </w:pPr>
      <w:bookmarkStart w:id="143" w:name="_Toc2994"/>
      <w:r>
        <w:rPr>
          <w:rFonts w:ascii="黑体" w:hAnsi="黑体" w:eastAsia="黑体" w:cs="黑体"/>
          <w:b/>
          <w:bCs/>
          <w:color w:val="000000"/>
          <w:sz w:val="26"/>
          <w:szCs w:val="26"/>
        </w:rPr>
        <w:t>5.5.1 传感器布设方案</w:t>
      </w:r>
      <w:bookmarkEnd w:id="143"/>
    </w:p>
    <w:p w14:paraId="7AB30660">
      <w:pPr>
        <w:spacing w:after="120" w:line="360" w:lineRule="auto"/>
        <w:jc w:val="both"/>
      </w:pPr>
      <w:r>
        <w:rPr>
          <w:rFonts w:ascii="宋体" w:hAnsi="宋体" w:eastAsia="宋体" w:cs="宋体"/>
          <w:sz w:val="24"/>
          <w:szCs w:val="24"/>
        </w:rPr>
        <w:t>数字孪生系统的关键在于传感器网络的布设。针对屯堡建筑的特点，建议布设以下类型传感器：</w:t>
      </w:r>
    </w:p>
    <w:p w14:paraId="7D677EF3">
      <w:pPr>
        <w:spacing w:after="120" w:line="360" w:lineRule="auto"/>
        <w:jc w:val="both"/>
      </w:pPr>
      <w:r>
        <w:rPr>
          <w:rFonts w:ascii="宋体" w:hAnsi="宋体" w:eastAsia="宋体" w:cs="宋体"/>
          <w:b/>
          <w:bCs/>
          <w:sz w:val="24"/>
          <w:szCs w:val="24"/>
        </w:rPr>
        <w:t>结构健康监测传感器。</w:t>
      </w:r>
      <w:r>
        <w:rPr>
          <w:rFonts w:ascii="宋体" w:hAnsi="宋体" w:eastAsia="宋体" w:cs="宋体"/>
          <w:sz w:val="24"/>
          <w:szCs w:val="24"/>
        </w:rPr>
        <w:t xml:space="preserve"> 裂缝计——监测墙体裂缝的宽度变化；倾斜仪——监测墙体和柱子的倾斜变形；振动传感器——监测地震和施工振动对建筑的影响。</w:t>
      </w:r>
    </w:p>
    <w:p w14:paraId="40D7178C">
      <w:pPr>
        <w:spacing w:after="120" w:line="360" w:lineRule="auto"/>
        <w:jc w:val="both"/>
      </w:pPr>
      <w:r>
        <w:rPr>
          <w:rFonts w:ascii="宋体" w:hAnsi="宋体" w:eastAsia="宋体" w:cs="宋体"/>
          <w:b/>
          <w:bCs/>
          <w:sz w:val="24"/>
          <w:szCs w:val="24"/>
        </w:rPr>
        <w:t>环境监测传感器。</w:t>
      </w:r>
      <w:r>
        <w:rPr>
          <w:rFonts w:ascii="宋体" w:hAnsi="宋体" w:eastAsia="宋体" w:cs="宋体"/>
          <w:sz w:val="24"/>
          <w:szCs w:val="24"/>
        </w:rPr>
        <w:t xml:space="preserve"> 温湿度传感器——监测室内外温湿度变化；雨量传感器——监测降雨量，预警洪涝灾害。</w:t>
      </w:r>
    </w:p>
    <w:p w14:paraId="2E1896F5">
      <w:pPr>
        <w:spacing w:after="120" w:line="360" w:lineRule="auto"/>
        <w:jc w:val="both"/>
      </w:pPr>
      <w:r>
        <w:rPr>
          <w:rFonts w:ascii="宋体" w:hAnsi="宋体" w:eastAsia="宋体" w:cs="宋体"/>
          <w:b/>
          <w:bCs/>
          <w:sz w:val="24"/>
          <w:szCs w:val="24"/>
        </w:rPr>
        <w:t>传感器数据传输。</w:t>
      </w:r>
      <w:r>
        <w:rPr>
          <w:rFonts w:ascii="宋体" w:hAnsi="宋体" w:eastAsia="宋体" w:cs="宋体"/>
          <w:sz w:val="24"/>
          <w:szCs w:val="24"/>
        </w:rPr>
        <w:t xml:space="preserve"> 利用LoRa或NB-IoT等低功耗广域网技术，将传感器数据传输至云平台。屯堡村寨地处山区，移动网络覆盖可能不足，需要布设LoRa网关。</w:t>
      </w:r>
    </w:p>
    <w:p w14:paraId="5D0FE6FF">
      <w:pPr>
        <w:pStyle w:val="4"/>
        <w:spacing w:before="300" w:after="200"/>
      </w:pPr>
      <w:bookmarkStart w:id="144" w:name="_Toc10827"/>
      <w:r>
        <w:rPr>
          <w:rFonts w:ascii="黑体" w:hAnsi="黑体" w:eastAsia="黑体" w:cs="黑体"/>
          <w:b/>
          <w:bCs/>
          <w:color w:val="000000"/>
          <w:sz w:val="26"/>
          <w:szCs w:val="26"/>
        </w:rPr>
        <w:t>5.5.2 数字孪生平台架构</w:t>
      </w:r>
      <w:bookmarkEnd w:id="144"/>
    </w:p>
    <w:p w14:paraId="03F9D779">
      <w:pPr>
        <w:spacing w:after="120" w:line="360" w:lineRule="auto"/>
        <w:jc w:val="both"/>
      </w:pPr>
      <w:r>
        <w:rPr>
          <w:rFonts w:ascii="宋体" w:hAnsi="宋体" w:eastAsia="宋体" w:cs="宋体"/>
          <w:sz w:val="24"/>
          <w:szCs w:val="24"/>
        </w:rPr>
        <w:t>屯堡建筑数字孪生平台的架构包括：</w:t>
      </w:r>
    </w:p>
    <w:p w14:paraId="765686EB">
      <w:pPr>
        <w:spacing w:after="120" w:line="360" w:lineRule="auto"/>
        <w:jc w:val="both"/>
      </w:pPr>
      <w:r>
        <w:rPr>
          <w:rFonts w:ascii="宋体" w:hAnsi="宋体" w:eastAsia="宋体" w:cs="宋体"/>
          <w:b/>
          <w:bCs/>
          <w:sz w:val="24"/>
          <w:szCs w:val="24"/>
        </w:rPr>
        <w:t>感知层。</w:t>
      </w:r>
      <w:r>
        <w:rPr>
          <w:rFonts w:ascii="宋体" w:hAnsi="宋体" w:eastAsia="宋体" w:cs="宋体"/>
          <w:sz w:val="24"/>
          <w:szCs w:val="24"/>
        </w:rPr>
        <w:t xml:space="preserve"> 各类传感器和物联网设备，负责数据采集。</w:t>
      </w:r>
    </w:p>
    <w:p w14:paraId="4EBF8B47">
      <w:pPr>
        <w:spacing w:after="120" w:line="360" w:lineRule="auto"/>
        <w:jc w:val="both"/>
      </w:pPr>
      <w:r>
        <w:rPr>
          <w:rFonts w:ascii="宋体" w:hAnsi="宋体" w:eastAsia="宋体" w:cs="宋体"/>
          <w:b/>
          <w:bCs/>
          <w:sz w:val="24"/>
          <w:szCs w:val="24"/>
        </w:rPr>
        <w:t>网络层。</w:t>
      </w:r>
      <w:r>
        <w:rPr>
          <w:rFonts w:ascii="宋体" w:hAnsi="宋体" w:eastAsia="宋体" w:cs="宋体"/>
          <w:sz w:val="24"/>
          <w:szCs w:val="24"/>
        </w:rPr>
        <w:t xml:space="preserve"> LoRa/NB-IoT/5G网络，负责数据传输。</w:t>
      </w:r>
    </w:p>
    <w:p w14:paraId="01EDBE14">
      <w:pPr>
        <w:spacing w:after="120" w:line="360" w:lineRule="auto"/>
        <w:jc w:val="both"/>
      </w:pPr>
      <w:r>
        <w:rPr>
          <w:rFonts w:ascii="宋体" w:hAnsi="宋体" w:eastAsia="宋体" w:cs="宋体"/>
          <w:b/>
          <w:bCs/>
          <w:sz w:val="24"/>
          <w:szCs w:val="24"/>
        </w:rPr>
        <w:t>平台层。</w:t>
      </w:r>
      <w:r>
        <w:rPr>
          <w:rFonts w:ascii="宋体" w:hAnsi="宋体" w:eastAsia="宋体" w:cs="宋体"/>
          <w:sz w:val="24"/>
          <w:szCs w:val="24"/>
        </w:rPr>
        <w:t xml:space="preserve"> 云服务器，负责数据存储、处理和分析。</w:t>
      </w:r>
    </w:p>
    <w:p w14:paraId="202CCF4E">
      <w:pPr>
        <w:spacing w:after="120" w:line="360" w:lineRule="auto"/>
        <w:jc w:val="both"/>
      </w:pPr>
      <w:r>
        <w:rPr>
          <w:rFonts w:ascii="宋体" w:hAnsi="宋体" w:eastAsia="宋体" w:cs="宋体"/>
          <w:b/>
          <w:bCs/>
          <w:sz w:val="24"/>
          <w:szCs w:val="24"/>
        </w:rPr>
        <w:t>模型层。</w:t>
      </w:r>
      <w:r>
        <w:rPr>
          <w:rFonts w:ascii="宋体" w:hAnsi="宋体" w:eastAsia="宋体" w:cs="宋体"/>
          <w:sz w:val="24"/>
          <w:szCs w:val="24"/>
        </w:rPr>
        <w:t xml:space="preserve"> 三维模型和HBIM模型，提供可视化基础。</w:t>
      </w:r>
    </w:p>
    <w:p w14:paraId="3CED9662">
      <w:pPr>
        <w:spacing w:after="120" w:line="360" w:lineRule="auto"/>
        <w:jc w:val="both"/>
      </w:pPr>
      <w:r>
        <w:rPr>
          <w:rFonts w:ascii="宋体" w:hAnsi="宋体" w:eastAsia="宋体" w:cs="宋体"/>
          <w:b/>
          <w:bCs/>
          <w:sz w:val="24"/>
          <w:szCs w:val="24"/>
        </w:rPr>
        <w:t>应用层。</w:t>
      </w:r>
      <w:r>
        <w:rPr>
          <w:rFonts w:ascii="宋体" w:hAnsi="宋体" w:eastAsia="宋体" w:cs="宋体"/>
          <w:sz w:val="24"/>
          <w:szCs w:val="24"/>
        </w:rPr>
        <w:t xml:space="preserve"> 监测预警、虚拟巡检、修缮模拟、公众展示等应用。</w:t>
      </w:r>
    </w:p>
    <w:p w14:paraId="210A1A7B">
      <w:pPr>
        <w:pStyle w:val="4"/>
        <w:spacing w:before="300" w:after="200"/>
      </w:pPr>
      <w:bookmarkStart w:id="145" w:name="_Toc13589"/>
      <w:r>
        <w:rPr>
          <w:rFonts w:ascii="黑体" w:hAnsi="黑体" w:eastAsia="黑体" w:cs="黑体"/>
          <w:b/>
          <w:bCs/>
          <w:color w:val="000000"/>
          <w:sz w:val="26"/>
          <w:szCs w:val="26"/>
        </w:rPr>
        <w:t>5.5.3 预警与决策支持</w:t>
      </w:r>
      <w:bookmarkEnd w:id="145"/>
    </w:p>
    <w:p w14:paraId="0F000551">
      <w:pPr>
        <w:spacing w:after="120" w:line="360" w:lineRule="auto"/>
        <w:jc w:val="both"/>
      </w:pPr>
      <w:r>
        <w:rPr>
          <w:rFonts w:ascii="宋体" w:hAnsi="宋体" w:eastAsia="宋体" w:cs="宋体"/>
          <w:sz w:val="24"/>
          <w:szCs w:val="24"/>
        </w:rPr>
        <w:t>数字孪生系统的核心价值在于预警和决策支持。当裂缝计检测到某条裂缝宽度超过预设阈值时，系统自动发出预警，管理人员可以通过数字孪生平台查看该裂缝的历史变化曲线和周边建筑的结构状态，决定是否启动应急响应。</w:t>
      </w:r>
    </w:p>
    <w:p w14:paraId="37A20D34">
      <w:pPr>
        <w:spacing w:after="120" w:line="360" w:lineRule="auto"/>
        <w:jc w:val="both"/>
      </w:pPr>
      <w:r>
        <w:rPr>
          <w:rFonts w:ascii="宋体" w:hAnsi="宋体" w:eastAsia="宋体" w:cs="宋体"/>
          <w:sz w:val="24"/>
          <w:szCs w:val="24"/>
        </w:rPr>
        <w:t>数字孪生还可以用于修缮方案的模拟和比选。在数字模型中模拟不同的修缮方案，评估其对建筑结构的影响，选择最优方案后再在物理建筑上实施，降低修缮风险。</w:t>
      </w:r>
    </w:p>
    <w:p w14:paraId="249D7D07">
      <w:pPr>
        <w:pStyle w:val="3"/>
        <w:spacing w:before="300" w:after="200"/>
      </w:pPr>
      <w:bookmarkStart w:id="146" w:name="_Toc5864"/>
      <w:r>
        <w:rPr>
          <w:rFonts w:ascii="黑体" w:hAnsi="黑体" w:eastAsia="黑体" w:cs="黑体"/>
          <w:b/>
          <w:bCs/>
          <w:color w:val="000000"/>
          <w:sz w:val="28"/>
          <w:szCs w:val="28"/>
        </w:rPr>
        <w:t>5.6 实践案例：云山屯数字化项目</w:t>
      </w:r>
      <w:bookmarkEnd w:id="146"/>
    </w:p>
    <w:p w14:paraId="4065ABDE">
      <w:pPr>
        <w:pStyle w:val="4"/>
        <w:spacing w:before="300" w:after="200"/>
      </w:pPr>
      <w:bookmarkStart w:id="147" w:name="_Toc2315"/>
      <w:r>
        <w:rPr>
          <w:rFonts w:ascii="黑体" w:hAnsi="黑体" w:eastAsia="黑体" w:cs="黑体"/>
          <w:b/>
          <w:bCs/>
          <w:color w:val="000000"/>
          <w:sz w:val="26"/>
          <w:szCs w:val="26"/>
        </w:rPr>
        <w:t>5.6.1 项目概况</w:t>
      </w:r>
      <w:bookmarkEnd w:id="147"/>
    </w:p>
    <w:p w14:paraId="0141D4FD">
      <w:pPr>
        <w:spacing w:after="120" w:line="360" w:lineRule="auto"/>
        <w:jc w:val="both"/>
      </w:pPr>
      <w:r>
        <w:rPr>
          <w:rFonts w:ascii="宋体" w:hAnsi="宋体" w:eastAsia="宋体" w:cs="宋体"/>
          <w:sz w:val="24"/>
          <w:szCs w:val="24"/>
        </w:rPr>
        <w:t>云山屯数字化项目是贵州大学与安顺市文物局合作的产学研项目，历时三个月，完成了云山屯核心区（面积约5公顷，建筑50余栋）的全面数字化。</w:t>
      </w:r>
    </w:p>
    <w:p w14:paraId="4BD71F12">
      <w:pPr>
        <w:pStyle w:val="4"/>
        <w:spacing w:before="300" w:after="200"/>
      </w:pPr>
      <w:bookmarkStart w:id="148" w:name="_Toc20802"/>
      <w:r>
        <w:rPr>
          <w:rFonts w:ascii="黑体" w:hAnsi="黑体" w:eastAsia="黑体" w:cs="黑体"/>
          <w:b/>
          <w:bCs/>
          <w:color w:val="000000"/>
          <w:sz w:val="26"/>
          <w:szCs w:val="26"/>
        </w:rPr>
        <w:t>5.6.2 技术方案</w:t>
      </w:r>
      <w:bookmarkEnd w:id="148"/>
    </w:p>
    <w:p w14:paraId="0C47B4C1">
      <w:pPr>
        <w:spacing w:after="120" w:line="360" w:lineRule="auto"/>
        <w:jc w:val="both"/>
      </w:pPr>
      <w:r>
        <w:rPr>
          <w:rFonts w:ascii="宋体" w:hAnsi="宋体" w:eastAsia="宋体" w:cs="宋体"/>
          <w:b/>
          <w:bCs/>
          <w:sz w:val="24"/>
          <w:szCs w:val="24"/>
        </w:rPr>
        <w:t>地面激光扫描。</w:t>
      </w:r>
      <w:r>
        <w:rPr>
          <w:rFonts w:ascii="宋体" w:hAnsi="宋体" w:eastAsia="宋体" w:cs="宋体"/>
          <w:sz w:val="24"/>
          <w:szCs w:val="24"/>
        </w:rPr>
        <w:t xml:space="preserve"> 使用FARO Focus S350扫描仪，设站120个，获取点云数据约50亿个点。</w:t>
      </w:r>
    </w:p>
    <w:p w14:paraId="71EC1829">
      <w:pPr>
        <w:spacing w:after="120" w:line="360" w:lineRule="auto"/>
        <w:jc w:val="both"/>
      </w:pPr>
      <w:r>
        <w:rPr>
          <w:rFonts w:ascii="宋体" w:hAnsi="宋体" w:eastAsia="宋体" w:cs="宋体"/>
          <w:b/>
          <w:bCs/>
          <w:sz w:val="24"/>
          <w:szCs w:val="24"/>
        </w:rPr>
        <w:t>无人机航拍。</w:t>
      </w:r>
      <w:r>
        <w:rPr>
          <w:rFonts w:ascii="宋体" w:hAnsi="宋体" w:eastAsia="宋体" w:cs="宋体"/>
          <w:sz w:val="24"/>
          <w:szCs w:val="24"/>
        </w:rPr>
        <w:t xml:space="preserve"> 使用大疆M300 RTK搭载倾斜相机，飞行3个架次，获取航片3000余张。</w:t>
      </w:r>
    </w:p>
    <w:p w14:paraId="7AC40E59">
      <w:pPr>
        <w:spacing w:after="120" w:line="360" w:lineRule="auto"/>
        <w:jc w:val="both"/>
      </w:pPr>
      <w:r>
        <w:rPr>
          <w:rFonts w:ascii="宋体" w:hAnsi="宋体" w:eastAsia="宋体" w:cs="宋体"/>
          <w:b/>
          <w:bCs/>
          <w:sz w:val="24"/>
          <w:szCs w:val="24"/>
        </w:rPr>
        <w:t>全景摄影。</w:t>
      </w:r>
      <w:r>
        <w:rPr>
          <w:rFonts w:ascii="宋体" w:hAnsi="宋体" w:eastAsia="宋体" w:cs="宋体"/>
          <w:sz w:val="24"/>
          <w:szCs w:val="24"/>
        </w:rPr>
        <w:t xml:space="preserve"> 使用Insta360相机拍摄全景照片200个点位。</w:t>
      </w:r>
    </w:p>
    <w:p w14:paraId="36C91608">
      <w:pPr>
        <w:spacing w:after="120" w:line="360" w:lineRule="auto"/>
        <w:jc w:val="both"/>
      </w:pPr>
      <w:r>
        <w:rPr>
          <w:rFonts w:ascii="宋体" w:hAnsi="宋体" w:eastAsia="宋体" w:cs="宋体"/>
          <w:b/>
          <w:bCs/>
          <w:sz w:val="24"/>
          <w:szCs w:val="24"/>
        </w:rPr>
        <w:t>口述史采集。</w:t>
      </w:r>
      <w:r>
        <w:rPr>
          <w:rFonts w:ascii="宋体" w:hAnsi="宋体" w:eastAsia="宋体" w:cs="宋体"/>
          <w:sz w:val="24"/>
          <w:szCs w:val="24"/>
        </w:rPr>
        <w:t xml:space="preserve"> 采访村民30余人，录制口述史视频100余小时。</w:t>
      </w:r>
    </w:p>
    <w:p w14:paraId="726AA61A">
      <w:pPr>
        <w:pStyle w:val="4"/>
        <w:spacing w:before="300" w:after="200"/>
      </w:pPr>
      <w:bookmarkStart w:id="149" w:name="_Toc11371"/>
      <w:r>
        <w:rPr>
          <w:rFonts w:ascii="黑体" w:hAnsi="黑体" w:eastAsia="黑体" w:cs="黑体"/>
          <w:b/>
          <w:bCs/>
          <w:color w:val="000000"/>
          <w:sz w:val="26"/>
          <w:szCs w:val="26"/>
        </w:rPr>
        <w:t>5.6.3 主要成果</w:t>
      </w:r>
      <w:bookmarkEnd w:id="149"/>
    </w:p>
    <w:p w14:paraId="69E1529F">
      <w:pPr>
        <w:spacing w:after="120" w:line="360" w:lineRule="auto"/>
        <w:jc w:val="both"/>
      </w:pPr>
      <w:r>
        <w:rPr>
          <w:rFonts w:ascii="宋体" w:hAnsi="宋体" w:eastAsia="宋体" w:cs="宋体"/>
          <w:sz w:val="24"/>
          <w:szCs w:val="24"/>
        </w:rPr>
        <w:t>云山屯三维实景模型（精度5厘米）；核心建筑HBIM模型（20栋）；云山屯数字孪生平台原型；VR云游系统；村寨历史变迁数字复原（明代-清代-民国-当代四个时期）。</w:t>
      </w:r>
    </w:p>
    <w:p w14:paraId="2F079AB3">
      <w:pPr>
        <w:pStyle w:val="4"/>
        <w:spacing w:before="300" w:after="200"/>
      </w:pPr>
      <w:bookmarkStart w:id="150" w:name="_Toc4209"/>
      <w:r>
        <w:rPr>
          <w:rFonts w:ascii="黑体" w:hAnsi="黑体" w:eastAsia="黑体" w:cs="黑体"/>
          <w:b/>
          <w:bCs/>
          <w:color w:val="000000"/>
          <w:sz w:val="26"/>
          <w:szCs w:val="26"/>
        </w:rPr>
        <w:t>5.6.4 经验与启示</w:t>
      </w:r>
      <w:bookmarkEnd w:id="150"/>
    </w:p>
    <w:p w14:paraId="74AAD83D">
      <w:pPr>
        <w:spacing w:after="120" w:line="360" w:lineRule="auto"/>
        <w:jc w:val="both"/>
      </w:pPr>
      <w:r>
        <w:rPr>
          <w:rFonts w:ascii="宋体" w:hAnsi="宋体" w:eastAsia="宋体" w:cs="宋体"/>
          <w:sz w:val="24"/>
          <w:szCs w:val="24"/>
        </w:rPr>
        <w:t>云山屯项目的主要经验包括：高校科研力量与地方文物部门的紧密合作；数字化与社区参与的有机结合（口述史采集增强了村民的文化自觉）；分期实施、滚动推进的策略（先做核心区、再做扩展区）。</w:t>
      </w:r>
    </w:p>
    <w:p w14:paraId="3B4A1C1E">
      <w:pPr>
        <w:pStyle w:val="3"/>
        <w:spacing w:before="300" w:after="200"/>
      </w:pPr>
      <w:bookmarkStart w:id="151" w:name="_Toc4365"/>
      <w:r>
        <w:rPr>
          <w:rFonts w:ascii="黑体" w:hAnsi="黑体" w:eastAsia="黑体" w:cs="黑体"/>
          <w:b/>
          <w:bCs/>
          <w:color w:val="000000"/>
          <w:sz w:val="28"/>
          <w:szCs w:val="28"/>
        </w:rPr>
        <w:t>本章小结</w:t>
      </w:r>
      <w:bookmarkEnd w:id="151"/>
    </w:p>
    <w:p w14:paraId="21E597F1">
      <w:pPr>
        <w:spacing w:after="120" w:line="360" w:lineRule="auto"/>
        <w:jc w:val="both"/>
      </w:pPr>
      <w:r>
        <w:rPr>
          <w:rFonts w:ascii="宋体" w:hAnsi="宋体" w:eastAsia="宋体" w:cs="宋体"/>
          <w:sz w:val="24"/>
          <w:szCs w:val="24"/>
        </w:rPr>
        <w:t>屯堡建筑数字化应采用分级策略，对重点建筑进行高精度三维扫描和HBIM建模，对一般建筑进行中精度记录。地面激光扫描、无人机倾斜摄影和手持扫描三种技术配合使用，覆盖从整体到局部的数据采集需求。HBIM建模需要建立屯堡建筑专用构件族库，录入丰富的历史和病害属性信息。GIS空间分析可揭示屯堡聚落的分布规律和空间特征。数字孪生系统通过传感器实时监测建筑结构健康，提供预警和决策支持。</w:t>
      </w:r>
    </w:p>
    <w:p w14:paraId="6ABA0891">
      <w:pPr>
        <w:pStyle w:val="3"/>
        <w:spacing w:before="300" w:after="200"/>
      </w:pPr>
      <w:bookmarkStart w:id="152" w:name="_Toc8614"/>
      <w:r>
        <w:rPr>
          <w:rFonts w:ascii="黑体" w:hAnsi="黑体" w:eastAsia="黑体" w:cs="黑体"/>
          <w:b/>
          <w:bCs/>
          <w:color w:val="000000"/>
          <w:sz w:val="28"/>
          <w:szCs w:val="28"/>
        </w:rPr>
        <w:t>思考与练习</w:t>
      </w:r>
      <w:bookmarkEnd w:id="152"/>
    </w:p>
    <w:p w14:paraId="58365218">
      <w:pPr>
        <w:pStyle w:val="19"/>
        <w:numPr>
          <w:ilvl w:val="0"/>
          <w:numId w:val="2"/>
        </w:numPr>
        <w:spacing w:after="60" w:line="340" w:lineRule="auto"/>
      </w:pPr>
      <w:r>
        <w:rPr>
          <w:rFonts w:ascii="宋体" w:hAnsi="宋体" w:eastAsia="宋体" w:cs="宋体"/>
          <w:sz w:val="24"/>
          <w:szCs w:val="24"/>
        </w:rPr>
        <w:t>设计一个针对典型屯堡四合院的地面激光扫描站点布设方案。</w:t>
      </w:r>
    </w:p>
    <w:p w14:paraId="0D52AB84">
      <w:pPr>
        <w:pStyle w:val="19"/>
        <w:numPr>
          <w:ilvl w:val="0"/>
          <w:numId w:val="2"/>
        </w:numPr>
        <w:spacing w:after="60" w:line="340" w:lineRule="auto"/>
      </w:pPr>
      <w:r>
        <w:rPr>
          <w:rFonts w:ascii="宋体" w:hAnsi="宋体" w:eastAsia="宋体" w:cs="宋体"/>
          <w:sz w:val="24"/>
          <w:szCs w:val="24"/>
        </w:rPr>
        <w:t>比较手动建模与Scan-to-BIM自动建模的适用场景。</w:t>
      </w:r>
    </w:p>
    <w:p w14:paraId="3428EA36">
      <w:pPr>
        <w:pStyle w:val="19"/>
        <w:numPr>
          <w:ilvl w:val="0"/>
          <w:numId w:val="2"/>
        </w:numPr>
        <w:spacing w:after="60" w:line="340" w:lineRule="auto"/>
      </w:pPr>
      <w:r>
        <w:rPr>
          <w:rFonts w:ascii="宋体" w:hAnsi="宋体" w:eastAsia="宋体" w:cs="宋体"/>
          <w:sz w:val="24"/>
          <w:szCs w:val="24"/>
        </w:rPr>
        <w:t>利用空间句法理论，分析云山屯巷道系统的防御功能。</w:t>
      </w:r>
    </w:p>
    <w:p w14:paraId="58D5BAC4">
      <w:pPr>
        <w:pStyle w:val="19"/>
        <w:numPr>
          <w:ilvl w:val="0"/>
          <w:numId w:val="2"/>
        </w:numPr>
        <w:spacing w:after="60" w:line="340" w:lineRule="auto"/>
      </w:pPr>
      <w:r>
        <w:rPr>
          <w:rFonts w:ascii="宋体" w:hAnsi="宋体" w:eastAsia="宋体" w:cs="宋体"/>
          <w:sz w:val="24"/>
          <w:szCs w:val="24"/>
        </w:rPr>
        <w:t>为天龙屯堡设计一套结构健康监测传感器布设方案。</w:t>
      </w:r>
    </w:p>
    <w:p w14:paraId="2D4493BC">
      <w:pPr>
        <w:pStyle w:val="19"/>
        <w:numPr>
          <w:ilvl w:val="0"/>
          <w:numId w:val="2"/>
        </w:numPr>
        <w:spacing w:after="60" w:line="340" w:lineRule="auto"/>
      </w:pPr>
      <w:r>
        <w:rPr>
          <w:rFonts w:ascii="宋体" w:hAnsi="宋体" w:eastAsia="宋体" w:cs="宋体"/>
          <w:sz w:val="24"/>
          <w:szCs w:val="24"/>
        </w:rPr>
        <w:t>查阅资料，了解"数字敦煌"或"数字故宫"项目中使用的三维数据采集技术。</w:t>
      </w:r>
    </w:p>
    <w:p w14:paraId="77C475BC">
      <w:pPr>
        <w:pStyle w:val="3"/>
        <w:spacing w:before="300" w:after="200"/>
      </w:pPr>
      <w:bookmarkStart w:id="153" w:name="_Toc12095"/>
      <w:r>
        <w:rPr>
          <w:rFonts w:ascii="黑体" w:hAnsi="黑体" w:eastAsia="黑体" w:cs="黑体"/>
          <w:b/>
          <w:bCs/>
          <w:color w:val="000000"/>
          <w:sz w:val="28"/>
          <w:szCs w:val="28"/>
        </w:rPr>
        <w:t>知识卡片：屯堡建筑数字化技术参数建议</w:t>
      </w:r>
      <w:bookmarkEnd w:id="15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75E9A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7592648">
            <w:pPr>
              <w:spacing w:after="0"/>
            </w:pPr>
            <w:r>
              <w:rPr>
                <w:rFonts w:ascii="宋体" w:hAnsi="宋体" w:eastAsia="宋体" w:cs="宋体"/>
                <w:b/>
                <w:bCs/>
                <w:color w:val="FFFFFF"/>
                <w:sz w:val="20"/>
                <w:szCs w:val="20"/>
              </w:rPr>
              <w:t>对象</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46CD6CA">
            <w:pPr>
              <w:spacing w:after="0"/>
            </w:pPr>
            <w:r>
              <w:rPr>
                <w:rFonts w:ascii="宋体" w:hAnsi="宋体" w:eastAsia="宋体" w:cs="宋体"/>
                <w:b/>
                <w:bCs/>
                <w:color w:val="FFFFFF"/>
                <w:sz w:val="20"/>
                <w:szCs w:val="20"/>
              </w:rPr>
              <w:t>技术手段</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214B24C">
            <w:pPr>
              <w:spacing w:after="0"/>
            </w:pPr>
            <w:r>
              <w:rPr>
                <w:rFonts w:ascii="宋体" w:hAnsi="宋体" w:eastAsia="宋体" w:cs="宋体"/>
                <w:b/>
                <w:bCs/>
                <w:color w:val="FFFFFF"/>
                <w:sz w:val="20"/>
                <w:szCs w:val="20"/>
              </w:rPr>
              <w:t>精度要求</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5D3FB13">
            <w:pPr>
              <w:spacing w:after="0"/>
            </w:pPr>
            <w:r>
              <w:rPr>
                <w:rFonts w:ascii="宋体" w:hAnsi="宋体" w:eastAsia="宋体" w:cs="宋体"/>
                <w:b/>
                <w:bCs/>
                <w:color w:val="FFFFFF"/>
                <w:sz w:val="20"/>
                <w:szCs w:val="20"/>
              </w:rPr>
              <w:t>成果形式</w:t>
            </w:r>
          </w:p>
        </w:tc>
      </w:tr>
      <w:tr w14:paraId="54296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C9B2B4">
            <w:pPr>
              <w:spacing w:after="0"/>
            </w:pPr>
            <w:r>
              <w:rPr>
                <w:rFonts w:ascii="宋体" w:hAnsi="宋体" w:eastAsia="宋体" w:cs="宋体"/>
                <w:sz w:val="20"/>
                <w:szCs w:val="20"/>
              </w:rPr>
              <w:t>重点保护建筑</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25D1111">
            <w:pPr>
              <w:spacing w:after="0"/>
            </w:pPr>
            <w:r>
              <w:rPr>
                <w:rFonts w:ascii="宋体" w:hAnsi="宋体" w:eastAsia="宋体" w:cs="宋体"/>
                <w:sz w:val="20"/>
                <w:szCs w:val="20"/>
              </w:rPr>
              <w:t>地面激光扫描+手持扫描</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9DB4BD">
            <w:pPr>
              <w:spacing w:after="0"/>
            </w:pPr>
            <w:r>
              <w:rPr>
                <w:rFonts w:ascii="宋体" w:hAnsi="宋体" w:eastAsia="宋体" w:cs="宋体"/>
                <w:sz w:val="20"/>
                <w:szCs w:val="20"/>
              </w:rPr>
              <w:t>2-6mm</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5EE2F1">
            <w:pPr>
              <w:spacing w:after="0"/>
            </w:pPr>
            <w:r>
              <w:rPr>
                <w:rFonts w:ascii="宋体" w:hAnsi="宋体" w:eastAsia="宋体" w:cs="宋体"/>
                <w:sz w:val="20"/>
                <w:szCs w:val="20"/>
              </w:rPr>
              <w:t>点云、三维模型、HBIM</w:t>
            </w:r>
          </w:p>
        </w:tc>
      </w:tr>
      <w:tr w14:paraId="494FB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99784A">
            <w:pPr>
              <w:spacing w:after="0"/>
            </w:pPr>
            <w:r>
              <w:rPr>
                <w:rFonts w:ascii="宋体" w:hAnsi="宋体" w:eastAsia="宋体" w:cs="宋体"/>
                <w:sz w:val="20"/>
                <w:szCs w:val="20"/>
              </w:rPr>
              <w:t>一般保护建筑</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0E0981">
            <w:pPr>
              <w:spacing w:after="0"/>
            </w:pPr>
            <w:r>
              <w:rPr>
                <w:rFonts w:ascii="宋体" w:hAnsi="宋体" w:eastAsia="宋体" w:cs="宋体"/>
                <w:sz w:val="20"/>
                <w:szCs w:val="20"/>
              </w:rPr>
              <w:t>摄影测量+无人机</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D9301A0">
            <w:pPr>
              <w:spacing w:after="0"/>
            </w:pPr>
            <w:r>
              <w:rPr>
                <w:rFonts w:ascii="宋体" w:hAnsi="宋体" w:eastAsia="宋体" w:cs="宋体"/>
                <w:sz w:val="20"/>
                <w:szCs w:val="20"/>
              </w:rPr>
              <w:t>2-5cm</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AF4CCDD">
            <w:pPr>
              <w:spacing w:after="0"/>
            </w:pPr>
            <w:r>
              <w:rPr>
                <w:rFonts w:ascii="宋体" w:hAnsi="宋体" w:eastAsia="宋体" w:cs="宋体"/>
                <w:sz w:val="20"/>
                <w:szCs w:val="20"/>
              </w:rPr>
              <w:t>三维实景模型</w:t>
            </w:r>
          </w:p>
        </w:tc>
      </w:tr>
      <w:tr w14:paraId="0CCC1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92AD70">
            <w:pPr>
              <w:spacing w:after="0"/>
            </w:pPr>
            <w:r>
              <w:rPr>
                <w:rFonts w:ascii="宋体" w:hAnsi="宋体" w:eastAsia="宋体" w:cs="宋体"/>
                <w:sz w:val="20"/>
                <w:szCs w:val="20"/>
              </w:rPr>
              <w:t>传统风貌建筑</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D06CA6">
            <w:pPr>
              <w:spacing w:after="0"/>
            </w:pPr>
            <w:r>
              <w:rPr>
                <w:rFonts w:ascii="宋体" w:hAnsi="宋体" w:eastAsia="宋体" w:cs="宋体"/>
                <w:sz w:val="20"/>
                <w:szCs w:val="20"/>
              </w:rPr>
              <w:t>无人机+全景摄影</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A6EB09">
            <w:pPr>
              <w:spacing w:after="0"/>
            </w:pPr>
            <w:r>
              <w:rPr>
                <w:rFonts w:ascii="宋体" w:hAnsi="宋体" w:eastAsia="宋体" w:cs="宋体"/>
                <w:sz w:val="20"/>
                <w:szCs w:val="20"/>
              </w:rPr>
              <w:t>5-10cm</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D21D5A">
            <w:pPr>
              <w:spacing w:after="0"/>
            </w:pPr>
            <w:r>
              <w:rPr>
                <w:rFonts w:ascii="宋体" w:hAnsi="宋体" w:eastAsia="宋体" w:cs="宋体"/>
                <w:sz w:val="20"/>
                <w:szCs w:val="20"/>
              </w:rPr>
              <w:t>全景影像、基本信息表</w:t>
            </w:r>
          </w:p>
        </w:tc>
      </w:tr>
      <w:tr w14:paraId="09BFC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B29DB9">
            <w:pPr>
              <w:spacing w:after="0"/>
            </w:pPr>
            <w:r>
              <w:rPr>
                <w:rFonts w:ascii="宋体" w:hAnsi="宋体" w:eastAsia="宋体" w:cs="宋体"/>
                <w:sz w:val="20"/>
                <w:szCs w:val="20"/>
              </w:rPr>
              <w:t>建筑细部（雕刻）</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A1BD0C">
            <w:pPr>
              <w:spacing w:after="0"/>
            </w:pPr>
            <w:r>
              <w:rPr>
                <w:rFonts w:ascii="宋体" w:hAnsi="宋体" w:eastAsia="宋体" w:cs="宋体"/>
                <w:sz w:val="20"/>
                <w:szCs w:val="20"/>
              </w:rPr>
              <w:t>手持扫描+RTI</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1592C2">
            <w:pPr>
              <w:spacing w:after="0"/>
            </w:pPr>
            <w:r>
              <w:rPr>
                <w:rFonts w:ascii="宋体" w:hAnsi="宋体" w:eastAsia="宋体" w:cs="宋体"/>
                <w:sz w:val="20"/>
                <w:szCs w:val="20"/>
              </w:rPr>
              <w:t>亚毫米</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357244">
            <w:pPr>
              <w:spacing w:after="0"/>
            </w:pPr>
            <w:r>
              <w:rPr>
                <w:rFonts w:ascii="宋体" w:hAnsi="宋体" w:eastAsia="宋体" w:cs="宋体"/>
                <w:sz w:val="20"/>
                <w:szCs w:val="20"/>
              </w:rPr>
              <w:t>高精度三维模型</w:t>
            </w:r>
          </w:p>
        </w:tc>
      </w:tr>
      <w:tr w14:paraId="357E1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2AFDD5">
            <w:pPr>
              <w:spacing w:after="0"/>
            </w:pPr>
            <w:r>
              <w:rPr>
                <w:rFonts w:ascii="宋体" w:hAnsi="宋体" w:eastAsia="宋体" w:cs="宋体"/>
                <w:sz w:val="20"/>
                <w:szCs w:val="20"/>
              </w:rPr>
              <w:t>村寨整体格局</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82D0CC">
            <w:pPr>
              <w:spacing w:after="0"/>
            </w:pPr>
            <w:r>
              <w:rPr>
                <w:rFonts w:ascii="宋体" w:hAnsi="宋体" w:eastAsia="宋体" w:cs="宋体"/>
                <w:sz w:val="20"/>
                <w:szCs w:val="20"/>
              </w:rPr>
              <w:t>无人机倾斜摄影</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9AC312">
            <w:pPr>
              <w:spacing w:after="0"/>
            </w:pPr>
            <w:r>
              <w:rPr>
                <w:rFonts w:ascii="宋体" w:hAnsi="宋体" w:eastAsia="宋体" w:cs="宋体"/>
                <w:sz w:val="20"/>
                <w:szCs w:val="20"/>
              </w:rPr>
              <w:t>5-10cm</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A55206">
            <w:pPr>
              <w:spacing w:after="0"/>
            </w:pPr>
            <w:r>
              <w:rPr>
                <w:rFonts w:ascii="宋体" w:hAnsi="宋体" w:eastAsia="宋体" w:cs="宋体"/>
                <w:sz w:val="20"/>
                <w:szCs w:val="20"/>
              </w:rPr>
              <w:t>三维实景模型、正射影像</w:t>
            </w:r>
          </w:p>
        </w:tc>
      </w:tr>
    </w:tbl>
    <w:p w14:paraId="55CB4A92">
      <w:r>
        <w:br w:type="page"/>
      </w:r>
    </w:p>
    <w:p w14:paraId="76C27739">
      <w:pPr>
        <w:pStyle w:val="2"/>
        <w:spacing w:before="400" w:after="200"/>
      </w:pPr>
      <w:bookmarkStart w:id="154" w:name="_Toc9266"/>
      <w:r>
        <w:rPr>
          <w:rFonts w:ascii="黑体" w:hAnsi="黑体" w:eastAsia="黑体" w:cs="黑体"/>
          <w:b/>
          <w:bCs/>
          <w:color w:val="1F4E79"/>
          <w:sz w:val="32"/>
          <w:szCs w:val="32"/>
        </w:rPr>
        <w:t>第 6 章  屯堡非物质文化遗产数字化</w:t>
      </w:r>
      <w:bookmarkEnd w:id="154"/>
    </w:p>
    <w:p w14:paraId="06E11A2B">
      <w:pPr>
        <w:pStyle w:val="3"/>
        <w:spacing w:before="300" w:after="200"/>
      </w:pPr>
      <w:bookmarkStart w:id="155" w:name="_Toc6226"/>
      <w:r>
        <w:rPr>
          <w:rFonts w:ascii="黑体" w:hAnsi="黑体" w:eastAsia="黑体" w:cs="黑体"/>
          <w:b/>
          <w:bCs/>
          <w:color w:val="000000"/>
          <w:sz w:val="28"/>
          <w:szCs w:val="28"/>
        </w:rPr>
        <w:t>学习目标</w:t>
      </w:r>
      <w:bookmarkEnd w:id="155"/>
    </w:p>
    <w:p w14:paraId="5415726C">
      <w:pPr>
        <w:pStyle w:val="19"/>
        <w:numPr>
          <w:ilvl w:val="0"/>
          <w:numId w:val="1"/>
        </w:numPr>
        <w:spacing w:after="60" w:line="340" w:lineRule="auto"/>
      </w:pPr>
      <w:r>
        <w:rPr>
          <w:rFonts w:ascii="宋体" w:hAnsi="宋体" w:eastAsia="宋体" w:cs="宋体"/>
          <w:sz w:val="24"/>
          <w:szCs w:val="24"/>
        </w:rPr>
        <w:t>掌握非物质文化遗产数字化的特殊要求和方法</w:t>
      </w:r>
    </w:p>
    <w:p w14:paraId="55ED8879">
      <w:pPr>
        <w:pStyle w:val="19"/>
        <w:numPr>
          <w:ilvl w:val="0"/>
          <w:numId w:val="1"/>
        </w:numPr>
        <w:spacing w:after="60" w:line="340" w:lineRule="auto"/>
      </w:pPr>
      <w:r>
        <w:rPr>
          <w:rFonts w:ascii="宋体" w:hAnsi="宋体" w:eastAsia="宋体" w:cs="宋体"/>
          <w:sz w:val="24"/>
          <w:szCs w:val="24"/>
        </w:rPr>
        <w:t>了解地戏表演的动作捕捉与数字记录技术</w:t>
      </w:r>
    </w:p>
    <w:p w14:paraId="14D67148">
      <w:pPr>
        <w:pStyle w:val="19"/>
        <w:numPr>
          <w:ilvl w:val="0"/>
          <w:numId w:val="1"/>
        </w:numPr>
        <w:spacing w:after="60" w:line="340" w:lineRule="auto"/>
      </w:pPr>
      <w:r>
        <w:rPr>
          <w:rFonts w:ascii="宋体" w:hAnsi="宋体" w:eastAsia="宋体" w:cs="宋体"/>
          <w:sz w:val="24"/>
          <w:szCs w:val="24"/>
        </w:rPr>
        <w:t>学习传统手工艺的数字化采集与知识提取</w:t>
      </w:r>
    </w:p>
    <w:p w14:paraId="42C88959">
      <w:pPr>
        <w:pStyle w:val="19"/>
        <w:numPr>
          <w:ilvl w:val="0"/>
          <w:numId w:val="1"/>
        </w:numPr>
        <w:spacing w:after="60" w:line="340" w:lineRule="auto"/>
      </w:pPr>
      <w:r>
        <w:rPr>
          <w:rFonts w:ascii="宋体" w:hAnsi="宋体" w:eastAsia="宋体" w:cs="宋体"/>
          <w:sz w:val="24"/>
          <w:szCs w:val="24"/>
        </w:rPr>
        <w:t>掌握口述史和民俗活动的数字化方法</w:t>
      </w:r>
    </w:p>
    <w:p w14:paraId="412D095C">
      <w:pPr>
        <w:pStyle w:val="19"/>
        <w:numPr>
          <w:ilvl w:val="0"/>
          <w:numId w:val="1"/>
        </w:numPr>
        <w:spacing w:after="60" w:line="340" w:lineRule="auto"/>
      </w:pPr>
      <w:r>
        <w:rPr>
          <w:rFonts w:ascii="宋体" w:hAnsi="宋体" w:eastAsia="宋体" w:cs="宋体"/>
          <w:sz w:val="24"/>
          <w:szCs w:val="24"/>
        </w:rPr>
        <w:t>能够设计屯堡非遗数字化的整体方案</w:t>
      </w:r>
    </w:p>
    <w:p w14:paraId="7DABFCF3">
      <w:pPr>
        <w:pStyle w:val="3"/>
        <w:spacing w:before="300" w:after="200"/>
      </w:pPr>
      <w:bookmarkStart w:id="156" w:name="_Toc32378"/>
      <w:r>
        <w:rPr>
          <w:rFonts w:ascii="黑体" w:hAnsi="黑体" w:eastAsia="黑体" w:cs="黑体"/>
          <w:b/>
          <w:bCs/>
          <w:color w:val="000000"/>
          <w:sz w:val="28"/>
          <w:szCs w:val="28"/>
        </w:rPr>
        <w:t>导入案例：用AI复活老面具</w:t>
      </w:r>
      <w:bookmarkEnd w:id="156"/>
    </w:p>
    <w:p w14:paraId="534E9A1B">
      <w:pPr>
        <w:spacing w:after="120" w:line="360" w:lineRule="auto"/>
        <w:jc w:val="both"/>
      </w:pPr>
      <w:r>
        <w:rPr>
          <w:rFonts w:ascii="宋体" w:hAnsi="宋体" w:eastAsia="宋体" w:cs="宋体"/>
          <w:sz w:val="24"/>
          <w:szCs w:val="24"/>
        </w:rPr>
        <w:t>2026年初，贵州大学"黔影新生"团队做了一件让屯堡老人们惊讶的事。他们用手机扫描了村里收藏的数十面老地戏面具，然后用AI图像生成工具，将这些沧桑斑驳的面具"复原"为色彩鲜艳的原始面貌，还创造了一组会眨眼、会说话的AI动画角色。</w:t>
      </w:r>
    </w:p>
    <w:p w14:paraId="2F13FC51">
      <w:pPr>
        <w:spacing w:after="120" w:line="360" w:lineRule="auto"/>
        <w:jc w:val="both"/>
      </w:pPr>
      <w:r>
        <w:rPr>
          <w:rFonts w:ascii="宋体" w:hAnsi="宋体" w:eastAsia="宋体" w:cs="宋体"/>
          <w:sz w:val="24"/>
          <w:szCs w:val="24"/>
        </w:rPr>
        <w:t>这些数字面具角色被印在了T恤、帆布袋、手机壳上，在黄果树景区成了爆款文创产品。一位老艺人摸着印有自己雕刻的面具图案的帆布袋，感慨道："没想到我这把老骨头做的东西，还能变成年轻人喜欢的样子。"</w:t>
      </w:r>
    </w:p>
    <w:p w14:paraId="477C72C0">
      <w:pPr>
        <w:spacing w:after="120" w:line="360" w:lineRule="auto"/>
        <w:jc w:val="both"/>
      </w:pPr>
      <w:r>
        <w:rPr>
          <w:rFonts w:ascii="宋体" w:hAnsi="宋体" w:eastAsia="宋体" w:cs="宋体"/>
          <w:sz w:val="24"/>
          <w:szCs w:val="24"/>
        </w:rPr>
        <w:t>"黔影新生"团队的成功，展示了非物质文化遗产数字化的一种可能路径——不是把非遗锁进数字档案库，而是让它以新的形态重新进入日常生活。</w:t>
      </w:r>
    </w:p>
    <w:p w14:paraId="08511039">
      <w:pPr>
        <w:pStyle w:val="3"/>
        <w:spacing w:before="300" w:after="200"/>
      </w:pPr>
      <w:bookmarkStart w:id="157" w:name="_Toc4634"/>
      <w:r>
        <w:rPr>
          <w:rFonts w:ascii="黑体" w:hAnsi="黑体" w:eastAsia="黑体" w:cs="黑体"/>
          <w:b/>
          <w:bCs/>
          <w:color w:val="000000"/>
          <w:sz w:val="28"/>
          <w:szCs w:val="28"/>
        </w:rPr>
        <w:t>6.1 非物质文化遗产数字化的特殊挑战</w:t>
      </w:r>
      <w:bookmarkEnd w:id="157"/>
    </w:p>
    <w:p w14:paraId="2C98C1DA">
      <w:pPr>
        <w:pStyle w:val="4"/>
        <w:spacing w:before="300" w:after="200"/>
      </w:pPr>
      <w:bookmarkStart w:id="158" w:name="_Toc7135"/>
      <w:r>
        <w:rPr>
          <w:rFonts w:ascii="黑体" w:hAnsi="黑体" w:eastAsia="黑体" w:cs="黑体"/>
          <w:b/>
          <w:bCs/>
          <w:color w:val="000000"/>
          <w:sz w:val="26"/>
          <w:szCs w:val="26"/>
        </w:rPr>
        <w:t>6.1.1 "非物质性"带来的技术难题</w:t>
      </w:r>
      <w:bookmarkEnd w:id="158"/>
    </w:p>
    <w:p w14:paraId="3B691497">
      <w:pPr>
        <w:spacing w:after="120" w:line="360" w:lineRule="auto"/>
        <w:jc w:val="both"/>
      </w:pPr>
      <w:r>
        <w:rPr>
          <w:rFonts w:ascii="宋体" w:hAnsi="宋体" w:eastAsia="宋体" w:cs="宋体"/>
          <w:sz w:val="24"/>
          <w:szCs w:val="24"/>
        </w:rPr>
        <w:t>与物质文化遗产不同，非物质文化遗产的核心不是"物"，而是"人"和"过程"。地戏的精彩不在面具本身，而在表演者戴着面具时的唱念做打；屯堡服饰的价值不在衣服本身，而在裁剪缝制的过程和穿着时的礼仪规范。</w:t>
      </w:r>
    </w:p>
    <w:p w14:paraId="5F2E1E70">
      <w:pPr>
        <w:spacing w:after="120" w:line="360" w:lineRule="auto"/>
        <w:jc w:val="both"/>
      </w:pPr>
      <w:r>
        <w:rPr>
          <w:rFonts w:ascii="宋体" w:hAnsi="宋体" w:eastAsia="宋体" w:cs="宋体"/>
          <w:sz w:val="24"/>
          <w:szCs w:val="24"/>
        </w:rPr>
        <w:t>这种"非物质性"给数字化带来了根本性挑战：如何将动态的、身体性的、情境化的文化实践转化为数字数据？一段地戏视频固然记录了表演的影像，但它无法传达现场的氛围、观众的互动、表演者与社区的联结——而这些恰恰是非遗最核心的价值。</w:t>
      </w:r>
    </w:p>
    <w:p w14:paraId="72239A97">
      <w:pPr>
        <w:pStyle w:val="4"/>
        <w:spacing w:before="300" w:after="200"/>
      </w:pPr>
      <w:bookmarkStart w:id="159" w:name="_Toc11216"/>
      <w:r>
        <w:rPr>
          <w:rFonts w:ascii="黑体" w:hAnsi="黑体" w:eastAsia="黑体" w:cs="黑体"/>
          <w:b/>
          <w:bCs/>
          <w:color w:val="000000"/>
          <w:sz w:val="26"/>
          <w:szCs w:val="26"/>
        </w:rPr>
        <w:t>6.1.2 "活态性"带来的记录难题</w:t>
      </w:r>
      <w:bookmarkEnd w:id="159"/>
    </w:p>
    <w:p w14:paraId="017E25EA">
      <w:pPr>
        <w:spacing w:after="120" w:line="360" w:lineRule="auto"/>
        <w:jc w:val="both"/>
      </w:pPr>
      <w:r>
        <w:rPr>
          <w:rFonts w:ascii="宋体" w:hAnsi="宋体" w:eastAsia="宋体" w:cs="宋体"/>
          <w:sz w:val="24"/>
          <w:szCs w:val="24"/>
        </w:rPr>
        <w:t>非物质文化遗产是"活"的——它在不断变化中延续。每一场地戏表演都是独一无二的，每一位传承人的技艺都有自己的风格，每一个村寨的习俗都有自己的变体。数字化的本质是"固定"——将流动的实践固化为可存储的数据。如何在不牺牲活态性的前提下完成数字化，是一个方法论难题。</w:t>
      </w:r>
    </w:p>
    <w:p w14:paraId="6E48A77B">
      <w:pPr>
        <w:spacing w:after="120" w:line="360" w:lineRule="auto"/>
        <w:jc w:val="both"/>
      </w:pPr>
      <w:r>
        <w:rPr>
          <w:rFonts w:ascii="宋体" w:hAnsi="宋体" w:eastAsia="宋体" w:cs="宋体"/>
          <w:sz w:val="24"/>
          <w:szCs w:val="24"/>
        </w:rPr>
        <w:t>解决方案不是追求"唯一的权威记录"，而是建立"多版本的开放档案"——记录同一项非遗在不同时间、不同村寨、不同传承人手中的不同表现，让数字档案本身成为非遗多样性的见证。</w:t>
      </w:r>
    </w:p>
    <w:p w14:paraId="02FBC55C">
      <w:pPr>
        <w:pStyle w:val="4"/>
        <w:spacing w:before="300" w:after="200"/>
      </w:pPr>
      <w:bookmarkStart w:id="160" w:name="_Toc17067"/>
      <w:r>
        <w:rPr>
          <w:rFonts w:ascii="黑体" w:hAnsi="黑体" w:eastAsia="黑体" w:cs="黑体"/>
          <w:b/>
          <w:bCs/>
          <w:color w:val="000000"/>
          <w:sz w:val="26"/>
          <w:szCs w:val="26"/>
        </w:rPr>
        <w:t>6.1.3 "主体性"带来的伦理问题</w:t>
      </w:r>
      <w:bookmarkEnd w:id="160"/>
    </w:p>
    <w:p w14:paraId="154B38BE">
      <w:pPr>
        <w:spacing w:after="120" w:line="360" w:lineRule="auto"/>
        <w:jc w:val="both"/>
      </w:pPr>
      <w:r>
        <w:rPr>
          <w:rFonts w:ascii="宋体" w:hAnsi="宋体" w:eastAsia="宋体" w:cs="宋体"/>
          <w:sz w:val="24"/>
          <w:szCs w:val="24"/>
        </w:rPr>
        <w:t>非遗的传承主体是社区和传承人，而非外部专家或技术团队。数字化过程中必须尊重传承主体的意愿和权益。这涉及一系列伦理问题：谁有权决定哪些内容可以数字化？数字化成果的知识产权归谁？数字内容的商业利用是否需要传承人的许可和利益分享？</w:t>
      </w:r>
    </w:p>
    <w:p w14:paraId="57844956">
      <w:pPr>
        <w:spacing w:after="120" w:line="360" w:lineRule="auto"/>
        <w:jc w:val="both"/>
      </w:pPr>
      <w:r>
        <w:rPr>
          <w:rFonts w:ascii="宋体" w:hAnsi="宋体" w:eastAsia="宋体" w:cs="宋体"/>
          <w:sz w:val="24"/>
          <w:szCs w:val="24"/>
        </w:rPr>
        <w:t>联合国教科文组织《保护非物质文化遗产伦理原则》（2015年）明确指出："社区、群体和个人的事先知情同意是保护非物质文化遗产各项活动的前提。"这一原则同样适用于数字化。</w:t>
      </w:r>
    </w:p>
    <w:p w14:paraId="17C14467">
      <w:pPr>
        <w:pStyle w:val="3"/>
        <w:spacing w:before="300" w:after="200"/>
      </w:pPr>
      <w:bookmarkStart w:id="161" w:name="_Toc32452"/>
      <w:r>
        <w:rPr>
          <w:rFonts w:ascii="黑体" w:hAnsi="黑体" w:eastAsia="黑体" w:cs="黑体"/>
          <w:b/>
          <w:bCs/>
          <w:color w:val="000000"/>
          <w:sz w:val="28"/>
          <w:szCs w:val="28"/>
        </w:rPr>
        <w:t>6.2 地戏表演的数字化记录</w:t>
      </w:r>
      <w:bookmarkEnd w:id="161"/>
    </w:p>
    <w:p w14:paraId="37FEAA0E">
      <w:pPr>
        <w:pStyle w:val="4"/>
        <w:spacing w:before="300" w:after="200"/>
      </w:pPr>
      <w:bookmarkStart w:id="162" w:name="_Toc2673"/>
      <w:r>
        <w:rPr>
          <w:rFonts w:ascii="黑体" w:hAnsi="黑体" w:eastAsia="黑体" w:cs="黑体"/>
          <w:b/>
          <w:bCs/>
          <w:color w:val="000000"/>
          <w:sz w:val="26"/>
          <w:szCs w:val="26"/>
        </w:rPr>
        <w:t>6.2.1 多机位高清视频记录</w:t>
      </w:r>
      <w:bookmarkEnd w:id="162"/>
    </w:p>
    <w:p w14:paraId="606D8FED">
      <w:pPr>
        <w:spacing w:after="120" w:line="360" w:lineRule="auto"/>
        <w:jc w:val="both"/>
      </w:pPr>
      <w:r>
        <w:rPr>
          <w:rFonts w:ascii="宋体" w:hAnsi="宋体" w:eastAsia="宋体" w:cs="宋体"/>
          <w:sz w:val="24"/>
          <w:szCs w:val="24"/>
        </w:rPr>
        <w:t>地戏表演的数字化记录以多机位高清视频为基础。建议采用4-6个机位：正面全景机位——记录表演的整体场面；侧面特写机位——记录主要角色的身段和表情；面具特写机位——记录面具的细节和色彩；观众反应机位——记录观众的互动和反馈；后台机位——记录演员化妆、着装和候场过程；无人机机位——从空中俯瞰表演场地和观众布局。</w:t>
      </w:r>
    </w:p>
    <w:p w14:paraId="191651F5">
      <w:pPr>
        <w:spacing w:after="120" w:line="360" w:lineRule="auto"/>
        <w:jc w:val="both"/>
      </w:pPr>
      <w:r>
        <w:rPr>
          <w:rFonts w:ascii="宋体" w:hAnsi="宋体" w:eastAsia="宋体" w:cs="宋体"/>
          <w:sz w:val="24"/>
          <w:szCs w:val="24"/>
        </w:rPr>
        <w:t>所有机位使用同步时间码，便于后期多机位剪辑和同步分析。视频格式建议使用4K分辨率、50fps帧率，以满足学术研究和数字展示的需求。</w:t>
      </w:r>
    </w:p>
    <w:p w14:paraId="7E2045B2">
      <w:pPr>
        <w:pStyle w:val="4"/>
        <w:spacing w:before="300" w:after="200"/>
      </w:pPr>
      <w:bookmarkStart w:id="163" w:name="_Toc8623"/>
      <w:r>
        <w:rPr>
          <w:rFonts w:ascii="黑体" w:hAnsi="黑体" w:eastAsia="黑体" w:cs="黑体"/>
          <w:b/>
          <w:bCs/>
          <w:color w:val="000000"/>
          <w:sz w:val="26"/>
          <w:szCs w:val="26"/>
        </w:rPr>
        <w:t>6.2.2 动作捕捉技术</w:t>
      </w:r>
      <w:bookmarkEnd w:id="163"/>
    </w:p>
    <w:p w14:paraId="5FF54D91">
      <w:pPr>
        <w:spacing w:after="120" w:line="360" w:lineRule="auto"/>
        <w:jc w:val="both"/>
      </w:pPr>
      <w:r>
        <w:rPr>
          <w:rFonts w:ascii="宋体" w:hAnsi="宋体" w:eastAsia="宋体" w:cs="宋体"/>
          <w:sz w:val="24"/>
          <w:szCs w:val="24"/>
        </w:rPr>
        <w:t>动作捕捉（Motion Capture）技术可以精确记录地戏表演者的身体运动数据，为舞蹈学、戏剧学研究和数字展示提供量化数据。</w:t>
      </w:r>
    </w:p>
    <w:p w14:paraId="49EB7EEE">
      <w:pPr>
        <w:spacing w:after="120" w:line="360" w:lineRule="auto"/>
        <w:jc w:val="both"/>
      </w:pPr>
      <w:r>
        <w:rPr>
          <w:rFonts w:ascii="宋体" w:hAnsi="宋体" w:eastAsia="宋体" w:cs="宋体"/>
          <w:sz w:val="24"/>
          <w:szCs w:val="24"/>
        </w:rPr>
        <w:t>惯性动作捕捉是适合地戏表演的方案。表演者穿戴带有惯性传感器的紧身衣，传感器记录各关节的旋转角度和加速度，实时生成三维骨骼动画。与光学动作捕捉相比，惯性捕捉不受场地和光线的限制，适合在屯堡村寨的户外环境使用。</w:t>
      </w:r>
    </w:p>
    <w:p w14:paraId="3A913F25">
      <w:pPr>
        <w:spacing w:after="120" w:line="360" w:lineRule="auto"/>
        <w:jc w:val="both"/>
      </w:pPr>
      <w:r>
        <w:rPr>
          <w:rFonts w:ascii="宋体" w:hAnsi="宋体" w:eastAsia="宋体" w:cs="宋体"/>
          <w:sz w:val="24"/>
          <w:szCs w:val="24"/>
        </w:rPr>
        <w:t>动作捕捉数据可用于：建立地戏动作数据库，分析不同村寨、不同传承人的表演风格差异；制作地戏教学动画，辅助传承人培训；为VR/AR地戏体验提供真实的动作数据。</w:t>
      </w:r>
    </w:p>
    <w:p w14:paraId="57E423A1">
      <w:pPr>
        <w:pStyle w:val="4"/>
        <w:spacing w:before="300" w:after="200"/>
      </w:pPr>
      <w:bookmarkStart w:id="164" w:name="_Toc32404"/>
      <w:r>
        <w:rPr>
          <w:rFonts w:ascii="黑体" w:hAnsi="黑体" w:eastAsia="黑体" w:cs="黑体"/>
          <w:b/>
          <w:bCs/>
          <w:color w:val="000000"/>
          <w:sz w:val="26"/>
          <w:szCs w:val="26"/>
        </w:rPr>
        <w:t>6.2.3 音频采集与分析</w:t>
      </w:r>
      <w:bookmarkEnd w:id="164"/>
    </w:p>
    <w:p w14:paraId="02D8A8F3">
      <w:pPr>
        <w:spacing w:after="120" w:line="360" w:lineRule="auto"/>
        <w:jc w:val="both"/>
      </w:pPr>
      <w:r>
        <w:rPr>
          <w:rFonts w:ascii="宋体" w:hAnsi="宋体" w:eastAsia="宋体" w:cs="宋体"/>
          <w:sz w:val="24"/>
          <w:szCs w:val="24"/>
        </w:rPr>
        <w:t>地戏的音乐要素——唱腔、锣鼓、念白——同样需要精细的数字化记录。</w:t>
      </w:r>
    </w:p>
    <w:p w14:paraId="71F88696">
      <w:pPr>
        <w:spacing w:after="120" w:line="360" w:lineRule="auto"/>
        <w:jc w:val="both"/>
      </w:pPr>
      <w:r>
        <w:rPr>
          <w:rFonts w:ascii="宋体" w:hAnsi="宋体" w:eastAsia="宋体" w:cs="宋体"/>
          <w:b/>
          <w:bCs/>
          <w:sz w:val="24"/>
          <w:szCs w:val="24"/>
        </w:rPr>
        <w:t>多轨音频录制。</w:t>
      </w:r>
      <w:r>
        <w:rPr>
          <w:rFonts w:ascii="宋体" w:hAnsi="宋体" w:eastAsia="宋体" w:cs="宋体"/>
          <w:sz w:val="24"/>
          <w:szCs w:val="24"/>
        </w:rPr>
        <w:t xml:space="preserve"> 使用多支麦克风分别录制唱腔、锣、鼓、钹等不同声部，后期可分别分析各声部的旋律、节奏和音色特征。</w:t>
      </w:r>
    </w:p>
    <w:p w14:paraId="55130F4C">
      <w:pPr>
        <w:spacing w:after="120" w:line="360" w:lineRule="auto"/>
        <w:jc w:val="both"/>
      </w:pPr>
      <w:r>
        <w:rPr>
          <w:rFonts w:ascii="宋体" w:hAnsi="宋体" w:eastAsia="宋体" w:cs="宋体"/>
          <w:b/>
          <w:bCs/>
          <w:sz w:val="24"/>
          <w:szCs w:val="24"/>
        </w:rPr>
        <w:t>声学分析。</w:t>
      </w:r>
      <w:r>
        <w:rPr>
          <w:rFonts w:ascii="宋体" w:hAnsi="宋体" w:eastAsia="宋体" w:cs="宋体"/>
          <w:sz w:val="24"/>
          <w:szCs w:val="24"/>
        </w:rPr>
        <w:t xml:space="preserve"> 利用Praat、Sonic Visualiser等声学分析软件，分析地戏唱腔的音高、音强、时长、共振峰等声学参数，量化不同传承人的唱腔风格差异。</w:t>
      </w:r>
    </w:p>
    <w:p w14:paraId="55253455">
      <w:pPr>
        <w:spacing w:after="120" w:line="360" w:lineRule="auto"/>
        <w:jc w:val="both"/>
      </w:pPr>
      <w:r>
        <w:rPr>
          <w:rFonts w:ascii="宋体" w:hAnsi="宋体" w:eastAsia="宋体" w:cs="宋体"/>
          <w:b/>
          <w:bCs/>
          <w:sz w:val="24"/>
          <w:szCs w:val="24"/>
        </w:rPr>
        <w:t>锣鼓经数字化。</w:t>
      </w:r>
      <w:r>
        <w:rPr>
          <w:rFonts w:ascii="宋体" w:hAnsi="宋体" w:eastAsia="宋体" w:cs="宋体"/>
          <w:sz w:val="24"/>
          <w:szCs w:val="24"/>
        </w:rPr>
        <w:t xml:space="preserve"> 地戏的锣鼓经（锣鼓谱）传统上以口传心授方式传承，缺乏书面记谱。可利用自动音乐转录（Automatic Music Transcription）技术，将锣鼓录音转化为MIDI数据和乐谱，建立地戏锣鼓经数据库。</w:t>
      </w:r>
    </w:p>
    <w:p w14:paraId="6E60FC43">
      <w:pPr>
        <w:pStyle w:val="4"/>
        <w:spacing w:before="300" w:after="200"/>
      </w:pPr>
      <w:bookmarkStart w:id="165" w:name="_Toc19382"/>
      <w:r>
        <w:rPr>
          <w:rFonts w:ascii="黑体" w:hAnsi="黑体" w:eastAsia="黑体" w:cs="黑体"/>
          <w:b/>
          <w:bCs/>
          <w:color w:val="000000"/>
          <w:sz w:val="26"/>
          <w:szCs w:val="26"/>
        </w:rPr>
        <w:t>6.2.4 面具与道具的三维数字化</w:t>
      </w:r>
      <w:bookmarkEnd w:id="165"/>
    </w:p>
    <w:p w14:paraId="7CD22F3C">
      <w:pPr>
        <w:spacing w:after="120" w:line="360" w:lineRule="auto"/>
        <w:jc w:val="both"/>
      </w:pPr>
      <w:r>
        <w:rPr>
          <w:rFonts w:ascii="宋体" w:hAnsi="宋体" w:eastAsia="宋体" w:cs="宋体"/>
          <w:sz w:val="24"/>
          <w:szCs w:val="24"/>
        </w:rPr>
        <w:t>地戏面具和道具（刀、枪、剑、戟、战旗等）的三维数字化可采用手持激光扫描或结构光扫描。扫描精度要求达到0.1毫米，以捕捉雕刻的刀法和彩绘的笔触。三维模型的数据可整合到地戏知识图谱中，与剧目、角色、表演者等信息关联。</w:t>
      </w:r>
    </w:p>
    <w:p w14:paraId="4B86326B">
      <w:pPr>
        <w:pStyle w:val="3"/>
        <w:spacing w:before="300" w:after="200"/>
      </w:pPr>
      <w:bookmarkStart w:id="166" w:name="_Toc5577"/>
      <w:r>
        <w:rPr>
          <w:rFonts w:ascii="黑体" w:hAnsi="黑体" w:eastAsia="黑体" w:cs="黑体"/>
          <w:b/>
          <w:bCs/>
          <w:color w:val="000000"/>
          <w:sz w:val="28"/>
          <w:szCs w:val="28"/>
        </w:rPr>
        <w:t>6.3 传统手工艺的数字化采集</w:t>
      </w:r>
      <w:bookmarkEnd w:id="166"/>
    </w:p>
    <w:p w14:paraId="2184A820">
      <w:pPr>
        <w:pStyle w:val="4"/>
        <w:spacing w:before="300" w:after="200"/>
      </w:pPr>
      <w:bookmarkStart w:id="167" w:name="_Toc19544"/>
      <w:r>
        <w:rPr>
          <w:rFonts w:ascii="黑体" w:hAnsi="黑体" w:eastAsia="黑体" w:cs="黑体"/>
          <w:b/>
          <w:bCs/>
          <w:color w:val="000000"/>
          <w:sz w:val="26"/>
          <w:szCs w:val="26"/>
        </w:rPr>
        <w:t>6.3.1 服饰制作工艺的记录</w:t>
      </w:r>
      <w:bookmarkEnd w:id="167"/>
    </w:p>
    <w:p w14:paraId="19B88C7D">
      <w:pPr>
        <w:spacing w:after="120" w:line="360" w:lineRule="auto"/>
        <w:jc w:val="both"/>
      </w:pPr>
      <w:r>
        <w:rPr>
          <w:rFonts w:ascii="宋体" w:hAnsi="宋体" w:eastAsia="宋体" w:cs="宋体"/>
          <w:sz w:val="24"/>
          <w:szCs w:val="24"/>
        </w:rPr>
        <w:t>屯堡服饰制作工艺的数字化需要记录从原料到成品的完整流程。</w:t>
      </w:r>
    </w:p>
    <w:p w14:paraId="29D1DEDC">
      <w:pPr>
        <w:spacing w:after="120" w:line="360" w:lineRule="auto"/>
        <w:jc w:val="both"/>
      </w:pPr>
      <w:r>
        <w:rPr>
          <w:rFonts w:ascii="宋体" w:hAnsi="宋体" w:eastAsia="宋体" w:cs="宋体"/>
          <w:b/>
          <w:bCs/>
          <w:sz w:val="24"/>
          <w:szCs w:val="24"/>
        </w:rPr>
        <w:t>工艺视频记录。</w:t>
      </w:r>
      <w:r>
        <w:rPr>
          <w:rFonts w:ascii="宋体" w:hAnsi="宋体" w:eastAsia="宋体" w:cs="宋体"/>
          <w:sz w:val="24"/>
          <w:szCs w:val="24"/>
        </w:rPr>
        <w:t xml:space="preserve"> 请传承人演示凤阳汉装的完整制作过程——选料、裁剪、缝制、刺绣、熨烫——用高清视频记录每一个步骤，同步录制传承人的口述讲解。</w:t>
      </w:r>
    </w:p>
    <w:p w14:paraId="48E053E8">
      <w:pPr>
        <w:spacing w:after="120" w:line="360" w:lineRule="auto"/>
        <w:jc w:val="both"/>
      </w:pPr>
      <w:r>
        <w:rPr>
          <w:rFonts w:ascii="宋体" w:hAnsi="宋体" w:eastAsia="宋体" w:cs="宋体"/>
          <w:b/>
          <w:bCs/>
          <w:sz w:val="24"/>
          <w:szCs w:val="24"/>
        </w:rPr>
        <w:t>动作分析。</w:t>
      </w:r>
      <w:r>
        <w:rPr>
          <w:rFonts w:ascii="宋体" w:hAnsi="宋体" w:eastAsia="宋体" w:cs="宋体"/>
          <w:sz w:val="24"/>
          <w:szCs w:val="24"/>
        </w:rPr>
        <w:t xml:space="preserve"> 利用视频动作分析技术，标注传承人手部动作的关键帧，分析其操作技巧和工艺诀窍。这些"隐性知识"往往难以用语言表达，但在慢放视频中可以被识别和学习。</w:t>
      </w:r>
    </w:p>
    <w:p w14:paraId="64FF68BF">
      <w:pPr>
        <w:spacing w:after="120" w:line="360" w:lineRule="auto"/>
        <w:jc w:val="both"/>
      </w:pPr>
      <w:r>
        <w:rPr>
          <w:rFonts w:ascii="宋体" w:hAnsi="宋体" w:eastAsia="宋体" w:cs="宋体"/>
          <w:b/>
          <w:bCs/>
          <w:sz w:val="24"/>
          <w:szCs w:val="24"/>
        </w:rPr>
        <w:t>三维扫描。</w:t>
      </w:r>
      <w:r>
        <w:rPr>
          <w:rFonts w:ascii="宋体" w:hAnsi="宋体" w:eastAsia="宋体" w:cs="宋体"/>
          <w:sz w:val="24"/>
          <w:szCs w:val="24"/>
        </w:rPr>
        <w:t xml:space="preserve"> 对完成的服饰成品进行三维扫描，记录其立体形态和穿着效果。</w:t>
      </w:r>
    </w:p>
    <w:p w14:paraId="14953D54">
      <w:pPr>
        <w:pStyle w:val="4"/>
        <w:spacing w:before="300" w:after="200"/>
      </w:pPr>
      <w:bookmarkStart w:id="168" w:name="_Toc11975"/>
      <w:r>
        <w:rPr>
          <w:rFonts w:ascii="黑体" w:hAnsi="黑体" w:eastAsia="黑体" w:cs="黑体"/>
          <w:b/>
          <w:bCs/>
          <w:color w:val="000000"/>
          <w:sz w:val="26"/>
          <w:szCs w:val="26"/>
        </w:rPr>
        <w:t>6.3.2 面具雕刻工艺的记录</w:t>
      </w:r>
      <w:bookmarkEnd w:id="168"/>
    </w:p>
    <w:p w14:paraId="7DA645CC">
      <w:pPr>
        <w:spacing w:after="120" w:line="360" w:lineRule="auto"/>
        <w:jc w:val="both"/>
      </w:pPr>
      <w:r>
        <w:rPr>
          <w:rFonts w:ascii="宋体" w:hAnsi="宋体" w:eastAsia="宋体" w:cs="宋体"/>
          <w:sz w:val="24"/>
          <w:szCs w:val="24"/>
        </w:rPr>
        <w:t>地戏面具雕刻是屯堡最具代表性的手工艺之一。其数字化记录需要重点关注：</w:t>
      </w:r>
    </w:p>
    <w:p w14:paraId="0889CAB2">
      <w:pPr>
        <w:spacing w:after="120" w:line="360" w:lineRule="auto"/>
        <w:jc w:val="both"/>
      </w:pPr>
      <w:r>
        <w:rPr>
          <w:rFonts w:ascii="宋体" w:hAnsi="宋体" w:eastAsia="宋体" w:cs="宋体"/>
          <w:b/>
          <w:bCs/>
          <w:sz w:val="24"/>
          <w:szCs w:val="24"/>
        </w:rPr>
        <w:t>材料准备。</w:t>
      </w:r>
      <w:r>
        <w:rPr>
          <w:rFonts w:ascii="宋体" w:hAnsi="宋体" w:eastAsia="宋体" w:cs="宋体"/>
          <w:sz w:val="24"/>
          <w:szCs w:val="24"/>
        </w:rPr>
        <w:t xml:space="preserve"> 记录白杨木或丁香木的选材、干燥、粗加工过程。</w:t>
      </w:r>
    </w:p>
    <w:p w14:paraId="3C420E7A">
      <w:pPr>
        <w:spacing w:after="120" w:line="360" w:lineRule="auto"/>
        <w:jc w:val="both"/>
      </w:pPr>
      <w:r>
        <w:rPr>
          <w:rFonts w:ascii="宋体" w:hAnsi="宋体" w:eastAsia="宋体" w:cs="宋体"/>
          <w:b/>
          <w:bCs/>
          <w:sz w:val="24"/>
          <w:szCs w:val="24"/>
        </w:rPr>
        <w:t>雕刻流程。</w:t>
      </w:r>
      <w:r>
        <w:rPr>
          <w:rFonts w:ascii="宋体" w:hAnsi="宋体" w:eastAsia="宋体" w:cs="宋体"/>
          <w:sz w:val="24"/>
          <w:szCs w:val="24"/>
        </w:rPr>
        <w:t xml:space="preserve"> 记录从粗坯到成品的完整雕刻过程——开脸、凿眼、修鼻、刻嘴、雕耳、镂空。每个阶段的半成品都应单独三维扫描，形成"雕刻过程三维序列"。</w:t>
      </w:r>
    </w:p>
    <w:p w14:paraId="03AB8E24">
      <w:pPr>
        <w:spacing w:after="120" w:line="360" w:lineRule="auto"/>
        <w:jc w:val="both"/>
      </w:pPr>
      <w:r>
        <w:rPr>
          <w:rFonts w:ascii="宋体" w:hAnsi="宋体" w:eastAsia="宋体" w:cs="宋体"/>
          <w:b/>
          <w:bCs/>
          <w:sz w:val="24"/>
          <w:szCs w:val="24"/>
        </w:rPr>
        <w:t>上色工艺。</w:t>
      </w:r>
      <w:r>
        <w:rPr>
          <w:rFonts w:ascii="宋体" w:hAnsi="宋体" w:eastAsia="宋体" w:cs="宋体"/>
          <w:sz w:val="24"/>
          <w:szCs w:val="24"/>
        </w:rPr>
        <w:t xml:space="preserve"> 记录底漆、上色、描金、做旧等工序。使用高光谱成像记录每层颜料的成分和层叠关系。</w:t>
      </w:r>
    </w:p>
    <w:p w14:paraId="5F6F4038">
      <w:pPr>
        <w:spacing w:after="120" w:line="360" w:lineRule="auto"/>
        <w:jc w:val="both"/>
      </w:pPr>
      <w:r>
        <w:rPr>
          <w:rFonts w:ascii="宋体" w:hAnsi="宋体" w:eastAsia="宋体" w:cs="宋体"/>
          <w:b/>
          <w:bCs/>
          <w:sz w:val="24"/>
          <w:szCs w:val="24"/>
        </w:rPr>
        <w:t>传承人口述。</w:t>
      </w:r>
      <w:r>
        <w:rPr>
          <w:rFonts w:ascii="宋体" w:hAnsi="宋体" w:eastAsia="宋体" w:cs="宋体"/>
          <w:sz w:val="24"/>
          <w:szCs w:val="24"/>
        </w:rPr>
        <w:t xml:space="preserve"> 记录传承人关于每个面具角色的故事、每个雕刻细节的象征意义的讲解。</w:t>
      </w:r>
    </w:p>
    <w:p w14:paraId="288456A8">
      <w:pPr>
        <w:pStyle w:val="4"/>
        <w:spacing w:before="300" w:after="200"/>
      </w:pPr>
      <w:bookmarkStart w:id="169" w:name="_Toc26578"/>
      <w:r>
        <w:rPr>
          <w:rFonts w:ascii="黑体" w:hAnsi="黑体" w:eastAsia="黑体" w:cs="黑体"/>
          <w:b/>
          <w:bCs/>
          <w:color w:val="000000"/>
          <w:sz w:val="26"/>
          <w:szCs w:val="26"/>
        </w:rPr>
        <w:t>6.3.3 饮食文化的数字化</w:t>
      </w:r>
      <w:bookmarkEnd w:id="169"/>
    </w:p>
    <w:p w14:paraId="4D464CDB">
      <w:pPr>
        <w:spacing w:after="120" w:line="360" w:lineRule="auto"/>
        <w:jc w:val="both"/>
      </w:pPr>
      <w:r>
        <w:rPr>
          <w:rFonts w:ascii="宋体" w:hAnsi="宋体" w:eastAsia="宋体" w:cs="宋体"/>
          <w:sz w:val="24"/>
          <w:szCs w:val="24"/>
        </w:rPr>
        <w:t>屯堡饮食文化的数字化不仅记录菜肴的成品，更要记录食材的来源、制作的过程和食用的场景。</w:t>
      </w:r>
    </w:p>
    <w:p w14:paraId="53877B3D">
      <w:pPr>
        <w:spacing w:after="120" w:line="360" w:lineRule="auto"/>
        <w:jc w:val="both"/>
      </w:pPr>
      <w:r>
        <w:rPr>
          <w:rFonts w:ascii="宋体" w:hAnsi="宋体" w:eastAsia="宋体" w:cs="宋体"/>
          <w:b/>
          <w:bCs/>
          <w:sz w:val="24"/>
          <w:szCs w:val="24"/>
        </w:rPr>
        <w:t>食材溯源。</w:t>
      </w:r>
      <w:r>
        <w:rPr>
          <w:rFonts w:ascii="宋体" w:hAnsi="宋体" w:eastAsia="宋体" w:cs="宋体"/>
          <w:sz w:val="24"/>
          <w:szCs w:val="24"/>
        </w:rPr>
        <w:t xml:space="preserve"> 记录主要食材（腊肉、糟辣椒、盐菜等）的原料品种、种植/养殖方式、加工方法。利用GPS标记食材产地，建立食材地理溯源系统。</w:t>
      </w:r>
    </w:p>
    <w:p w14:paraId="18C3182F">
      <w:pPr>
        <w:spacing w:after="120" w:line="360" w:lineRule="auto"/>
        <w:jc w:val="both"/>
      </w:pPr>
      <w:r>
        <w:rPr>
          <w:rFonts w:ascii="宋体" w:hAnsi="宋体" w:eastAsia="宋体" w:cs="宋体"/>
          <w:b/>
          <w:bCs/>
          <w:sz w:val="24"/>
          <w:szCs w:val="24"/>
        </w:rPr>
        <w:t>制作过程。</w:t>
      </w:r>
      <w:r>
        <w:rPr>
          <w:rFonts w:ascii="宋体" w:hAnsi="宋体" w:eastAsia="宋体" w:cs="宋体"/>
          <w:sz w:val="24"/>
          <w:szCs w:val="24"/>
        </w:rPr>
        <w:t xml:space="preserve"> 用多机位视频记录代表性菜肴的完整制作过程，配合传承人的口述讲解。</w:t>
      </w:r>
    </w:p>
    <w:p w14:paraId="6C0347DA">
      <w:pPr>
        <w:spacing w:after="120" w:line="360" w:lineRule="auto"/>
        <w:jc w:val="both"/>
      </w:pPr>
      <w:r>
        <w:rPr>
          <w:rFonts w:ascii="宋体" w:hAnsi="宋体" w:eastAsia="宋体" w:cs="宋体"/>
          <w:b/>
          <w:bCs/>
          <w:sz w:val="24"/>
          <w:szCs w:val="24"/>
        </w:rPr>
        <w:t>食用场景。</w:t>
      </w:r>
      <w:r>
        <w:rPr>
          <w:rFonts w:ascii="宋体" w:hAnsi="宋体" w:eastAsia="宋体" w:cs="宋体"/>
          <w:sz w:val="24"/>
          <w:szCs w:val="24"/>
        </w:rPr>
        <w:t xml:space="preserve"> 记录"八大碗"宴席的摆桌方式、上菜顺序、座位礼仪、敬酒规矩等饮食习俗。</w:t>
      </w:r>
    </w:p>
    <w:p w14:paraId="3C8B87DE">
      <w:pPr>
        <w:pStyle w:val="3"/>
        <w:spacing w:before="300" w:after="200"/>
      </w:pPr>
      <w:bookmarkStart w:id="170" w:name="_Toc918"/>
      <w:r>
        <w:rPr>
          <w:rFonts w:ascii="黑体" w:hAnsi="黑体" w:eastAsia="黑体" w:cs="黑体"/>
          <w:b/>
          <w:bCs/>
          <w:color w:val="000000"/>
          <w:sz w:val="28"/>
          <w:szCs w:val="28"/>
        </w:rPr>
        <w:t>6.4 口述史与民俗活动的数字化</w:t>
      </w:r>
      <w:bookmarkEnd w:id="170"/>
    </w:p>
    <w:p w14:paraId="02900B95">
      <w:pPr>
        <w:pStyle w:val="4"/>
        <w:spacing w:before="300" w:after="200"/>
      </w:pPr>
      <w:bookmarkStart w:id="171" w:name="_Toc25551"/>
      <w:r>
        <w:rPr>
          <w:rFonts w:ascii="黑体" w:hAnsi="黑体" w:eastAsia="黑体" w:cs="黑体"/>
          <w:b/>
          <w:bCs/>
          <w:color w:val="000000"/>
          <w:sz w:val="26"/>
          <w:szCs w:val="26"/>
        </w:rPr>
        <w:t>6.4.1 口述史采集方法</w:t>
      </w:r>
      <w:bookmarkEnd w:id="171"/>
    </w:p>
    <w:p w14:paraId="48F49B2D">
      <w:pPr>
        <w:spacing w:after="120" w:line="360" w:lineRule="auto"/>
        <w:jc w:val="both"/>
      </w:pPr>
      <w:r>
        <w:rPr>
          <w:rFonts w:ascii="宋体" w:hAnsi="宋体" w:eastAsia="宋体" w:cs="宋体"/>
          <w:sz w:val="24"/>
          <w:szCs w:val="24"/>
        </w:rPr>
        <w:t>口述史是屯堡文化数字化的重要组成部分。屯堡老人们的记忆是一座"活态图书馆"，存储着关于村寨历史、家族故事、传统习俗的丰富信息。这些信息如果不及时采集，将随着老人的离世而永远消失。</w:t>
      </w:r>
    </w:p>
    <w:p w14:paraId="54F7B3EE">
      <w:pPr>
        <w:spacing w:after="120" w:line="360" w:lineRule="auto"/>
        <w:jc w:val="both"/>
      </w:pPr>
      <w:r>
        <w:rPr>
          <w:rFonts w:ascii="宋体" w:hAnsi="宋体" w:eastAsia="宋体" w:cs="宋体"/>
          <w:b/>
          <w:bCs/>
          <w:sz w:val="24"/>
          <w:szCs w:val="24"/>
        </w:rPr>
        <w:t>访谈对象选择。</w:t>
      </w:r>
      <w:r>
        <w:rPr>
          <w:rFonts w:ascii="宋体" w:hAnsi="宋体" w:eastAsia="宋体" w:cs="宋体"/>
          <w:sz w:val="24"/>
          <w:szCs w:val="24"/>
        </w:rPr>
        <w:t xml:space="preserve"> 优先采访80岁以上的老人，特别是掌握传统技艺（地戏、雕刻、服饰制作）的传承人、对村寨历史有深入了解的长者。</w:t>
      </w:r>
    </w:p>
    <w:p w14:paraId="59CAACF2">
      <w:pPr>
        <w:spacing w:after="120" w:line="360" w:lineRule="auto"/>
        <w:jc w:val="both"/>
      </w:pPr>
      <w:r>
        <w:rPr>
          <w:rFonts w:ascii="宋体" w:hAnsi="宋体" w:eastAsia="宋体" w:cs="宋体"/>
          <w:b/>
          <w:bCs/>
          <w:sz w:val="24"/>
          <w:szCs w:val="24"/>
        </w:rPr>
        <w:t>访谈提纲设计。</w:t>
      </w:r>
      <w:r>
        <w:rPr>
          <w:rFonts w:ascii="宋体" w:hAnsi="宋体" w:eastAsia="宋体" w:cs="宋体"/>
          <w:sz w:val="24"/>
          <w:szCs w:val="24"/>
        </w:rPr>
        <w:t xml:space="preserve"> 围绕以下主题设计访谈提纲：个人生平与家族史；村寨历史与变迁；传统技艺的学习与传承经历；节庆仪式与民俗活动的记忆；对屯堡文化当代变迁的看法。</w:t>
      </w:r>
    </w:p>
    <w:p w14:paraId="72C858C6">
      <w:pPr>
        <w:spacing w:after="120" w:line="360" w:lineRule="auto"/>
        <w:jc w:val="both"/>
      </w:pPr>
      <w:r>
        <w:rPr>
          <w:rFonts w:ascii="宋体" w:hAnsi="宋体" w:eastAsia="宋体" w:cs="宋体"/>
          <w:b/>
          <w:bCs/>
          <w:sz w:val="24"/>
          <w:szCs w:val="24"/>
        </w:rPr>
        <w:t>访谈技巧。</w:t>
      </w:r>
      <w:r>
        <w:rPr>
          <w:rFonts w:ascii="宋体" w:hAnsi="宋体" w:eastAsia="宋体" w:cs="宋体"/>
          <w:sz w:val="24"/>
          <w:szCs w:val="24"/>
        </w:rPr>
        <w:t xml:space="preserve"> 使用开放式问题，鼓励受访者自由讲述；注意追问细节（时间、地点、人物、感受）；使用老照片、旧物件作为记忆触发点；尊重受访者的讲述节奏，不催促不打断。</w:t>
      </w:r>
    </w:p>
    <w:p w14:paraId="1C95B055">
      <w:pPr>
        <w:spacing w:after="120" w:line="360" w:lineRule="auto"/>
        <w:jc w:val="both"/>
      </w:pPr>
      <w:r>
        <w:rPr>
          <w:rFonts w:ascii="宋体" w:hAnsi="宋体" w:eastAsia="宋体" w:cs="宋体"/>
          <w:b/>
          <w:bCs/>
          <w:sz w:val="24"/>
          <w:szCs w:val="24"/>
        </w:rPr>
        <w:t>数据整理。</w:t>
      </w:r>
      <w:r>
        <w:rPr>
          <w:rFonts w:ascii="宋体" w:hAnsi="宋体" w:eastAsia="宋体" w:cs="宋体"/>
          <w:sz w:val="24"/>
          <w:szCs w:val="24"/>
        </w:rPr>
        <w:t xml:space="preserve"> 将访谈录音转录为文字，进行主题标注和时间线整理。重要的音频和视频片段进行剪辑，制作口述史短片。</w:t>
      </w:r>
    </w:p>
    <w:p w14:paraId="5EE4FBB3">
      <w:pPr>
        <w:pStyle w:val="4"/>
        <w:spacing w:before="300" w:after="200"/>
      </w:pPr>
      <w:bookmarkStart w:id="172" w:name="_Toc20491"/>
      <w:r>
        <w:rPr>
          <w:rFonts w:ascii="黑体" w:hAnsi="黑体" w:eastAsia="黑体" w:cs="黑体"/>
          <w:b/>
          <w:bCs/>
          <w:color w:val="000000"/>
          <w:sz w:val="26"/>
          <w:szCs w:val="26"/>
        </w:rPr>
        <w:t>6.4.2 民俗活动的全方位记录</w:t>
      </w:r>
      <w:bookmarkEnd w:id="172"/>
    </w:p>
    <w:p w14:paraId="4FAEFEBD">
      <w:pPr>
        <w:spacing w:after="120" w:line="360" w:lineRule="auto"/>
        <w:jc w:val="both"/>
      </w:pPr>
      <w:r>
        <w:rPr>
          <w:rFonts w:ascii="宋体" w:hAnsi="宋体" w:eastAsia="宋体" w:cs="宋体"/>
          <w:sz w:val="24"/>
          <w:szCs w:val="24"/>
        </w:rPr>
        <w:t>屯堡的节庆民俗活动——"抬汪公"、跳花灯、迎春牛、祭五显——是社区性的集体活动，其数字化记录需要全方位覆盖。</w:t>
      </w:r>
    </w:p>
    <w:p w14:paraId="18D4E31C">
      <w:pPr>
        <w:spacing w:after="120" w:line="360" w:lineRule="auto"/>
        <w:jc w:val="both"/>
      </w:pPr>
      <w:r>
        <w:rPr>
          <w:rFonts w:ascii="宋体" w:hAnsi="宋体" w:eastAsia="宋体" w:cs="宋体"/>
          <w:b/>
          <w:bCs/>
          <w:sz w:val="24"/>
          <w:szCs w:val="24"/>
        </w:rPr>
        <w:t>时间线记录。</w:t>
      </w:r>
      <w:r>
        <w:rPr>
          <w:rFonts w:ascii="宋体" w:hAnsi="宋体" w:eastAsia="宋体" w:cs="宋体"/>
          <w:sz w:val="24"/>
          <w:szCs w:val="24"/>
        </w:rPr>
        <w:t xml:space="preserve"> 民俗活动往往持续数天，需要全程跟拍，记录从准备到收尾的完整流程。</w:t>
      </w:r>
    </w:p>
    <w:p w14:paraId="1D02B95D">
      <w:pPr>
        <w:spacing w:after="120" w:line="360" w:lineRule="auto"/>
        <w:jc w:val="both"/>
      </w:pPr>
      <w:r>
        <w:rPr>
          <w:rFonts w:ascii="宋体" w:hAnsi="宋体" w:eastAsia="宋体" w:cs="宋体"/>
          <w:b/>
          <w:bCs/>
          <w:sz w:val="24"/>
          <w:szCs w:val="24"/>
        </w:rPr>
        <w:t>空间轨迹记录。</w:t>
      </w:r>
      <w:r>
        <w:rPr>
          <w:rFonts w:ascii="宋体" w:hAnsi="宋体" w:eastAsia="宋体" w:cs="宋体"/>
          <w:sz w:val="24"/>
          <w:szCs w:val="24"/>
        </w:rPr>
        <w:t xml:space="preserve"> 使用GPS记录仪记录"抬汪公"巡游等移动性活动的行进路线，导入GIS系统进行空间分析。</w:t>
      </w:r>
    </w:p>
    <w:p w14:paraId="41921372">
      <w:pPr>
        <w:spacing w:after="120" w:line="360" w:lineRule="auto"/>
        <w:jc w:val="both"/>
      </w:pPr>
      <w:r>
        <w:rPr>
          <w:rFonts w:ascii="宋体" w:hAnsi="宋体" w:eastAsia="宋体" w:cs="宋体"/>
          <w:b/>
          <w:bCs/>
          <w:sz w:val="24"/>
          <w:szCs w:val="24"/>
        </w:rPr>
        <w:t>参与者视角记录。</w:t>
      </w:r>
      <w:r>
        <w:rPr>
          <w:rFonts w:ascii="宋体" w:hAnsi="宋体" w:eastAsia="宋体" w:cs="宋体"/>
          <w:sz w:val="24"/>
          <w:szCs w:val="24"/>
        </w:rPr>
        <w:t xml:space="preserve"> 除专业摄制组的"外部视角"外，鼓励村民用手机拍摄"内部视角"的影像，补充专业记录的盲区。</w:t>
      </w:r>
    </w:p>
    <w:p w14:paraId="69D9EF67">
      <w:pPr>
        <w:spacing w:after="120" w:line="360" w:lineRule="auto"/>
        <w:jc w:val="both"/>
      </w:pPr>
      <w:r>
        <w:rPr>
          <w:rFonts w:ascii="宋体" w:hAnsi="宋体" w:eastAsia="宋体" w:cs="宋体"/>
          <w:b/>
          <w:bCs/>
          <w:sz w:val="24"/>
          <w:szCs w:val="24"/>
        </w:rPr>
        <w:t>多年度对比记录。</w:t>
      </w:r>
      <w:r>
        <w:rPr>
          <w:rFonts w:ascii="宋体" w:hAnsi="宋体" w:eastAsia="宋体" w:cs="宋体"/>
          <w:sz w:val="24"/>
          <w:szCs w:val="24"/>
        </w:rPr>
        <w:t xml:space="preserve"> 民俗活动每年都在发生微妙变化，建议进行多年度连续记录，形成"民俗变迁时间序列"。</w:t>
      </w:r>
    </w:p>
    <w:p w14:paraId="6F7DF151">
      <w:pPr>
        <w:pStyle w:val="3"/>
        <w:spacing w:before="300" w:after="200"/>
      </w:pPr>
      <w:bookmarkStart w:id="173" w:name="_Toc11858"/>
      <w:r>
        <w:rPr>
          <w:rFonts w:ascii="黑体" w:hAnsi="黑体" w:eastAsia="黑体" w:cs="黑体"/>
          <w:b/>
          <w:bCs/>
          <w:color w:val="000000"/>
          <w:sz w:val="28"/>
          <w:szCs w:val="28"/>
        </w:rPr>
        <w:t>6.5 屯堡非遗数据库与知识图谱</w:t>
      </w:r>
      <w:bookmarkEnd w:id="173"/>
    </w:p>
    <w:p w14:paraId="25FBB5D8">
      <w:pPr>
        <w:pStyle w:val="4"/>
        <w:spacing w:before="300" w:after="200"/>
      </w:pPr>
      <w:bookmarkStart w:id="174" w:name="_Toc3448"/>
      <w:r>
        <w:rPr>
          <w:rFonts w:ascii="黑体" w:hAnsi="黑体" w:eastAsia="黑体" w:cs="黑体"/>
          <w:b/>
          <w:bCs/>
          <w:color w:val="000000"/>
          <w:sz w:val="26"/>
          <w:szCs w:val="26"/>
        </w:rPr>
        <w:t>6.5.1 非遗数据库架构</w:t>
      </w:r>
      <w:bookmarkEnd w:id="174"/>
    </w:p>
    <w:p w14:paraId="711B8F49">
      <w:pPr>
        <w:spacing w:after="120" w:line="360" w:lineRule="auto"/>
        <w:jc w:val="both"/>
      </w:pPr>
      <w:r>
        <w:rPr>
          <w:rFonts w:ascii="宋体" w:hAnsi="宋体" w:eastAsia="宋体" w:cs="宋体"/>
          <w:sz w:val="24"/>
          <w:szCs w:val="24"/>
        </w:rPr>
        <w:t>屯堡非遗数据库应采用"项目-传承人-作品-文献"四维架构：</w:t>
      </w:r>
    </w:p>
    <w:p w14:paraId="04129119">
      <w:pPr>
        <w:spacing w:after="120" w:line="360" w:lineRule="auto"/>
        <w:jc w:val="both"/>
      </w:pPr>
      <w:r>
        <w:rPr>
          <w:rFonts w:ascii="宋体" w:hAnsi="宋体" w:eastAsia="宋体" w:cs="宋体"/>
          <w:b/>
          <w:bCs/>
          <w:sz w:val="24"/>
          <w:szCs w:val="24"/>
        </w:rPr>
        <w:t>非遗项目维度。</w:t>
      </w:r>
      <w:r>
        <w:rPr>
          <w:rFonts w:ascii="宋体" w:hAnsi="宋体" w:eastAsia="宋体" w:cs="宋体"/>
          <w:sz w:val="24"/>
          <w:szCs w:val="24"/>
        </w:rPr>
        <w:t xml:space="preserve"> 地戏、服饰制作、面具雕刻、饮食习俗、节庆仪式等各非遗项目的元数据。</w:t>
      </w:r>
    </w:p>
    <w:p w14:paraId="4C5AB1EF">
      <w:pPr>
        <w:spacing w:after="120" w:line="360" w:lineRule="auto"/>
        <w:jc w:val="both"/>
      </w:pPr>
      <w:r>
        <w:rPr>
          <w:rFonts w:ascii="宋体" w:hAnsi="宋体" w:eastAsia="宋体" w:cs="宋体"/>
          <w:b/>
          <w:bCs/>
          <w:sz w:val="24"/>
          <w:szCs w:val="24"/>
        </w:rPr>
        <w:t>传承人维度。</w:t>
      </w:r>
      <w:r>
        <w:rPr>
          <w:rFonts w:ascii="宋体" w:hAnsi="宋体" w:eastAsia="宋体" w:cs="宋体"/>
          <w:sz w:val="24"/>
          <w:szCs w:val="24"/>
        </w:rPr>
        <w:t xml:space="preserve"> 各级传承人的基本信息、技艺特长、传承谱系、代表性作品。</w:t>
      </w:r>
    </w:p>
    <w:p w14:paraId="4D9B6A53">
      <w:pPr>
        <w:spacing w:after="120" w:line="360" w:lineRule="auto"/>
        <w:jc w:val="both"/>
      </w:pPr>
      <w:r>
        <w:rPr>
          <w:rFonts w:ascii="宋体" w:hAnsi="宋体" w:eastAsia="宋体" w:cs="宋体"/>
          <w:b/>
          <w:bCs/>
          <w:sz w:val="24"/>
          <w:szCs w:val="24"/>
        </w:rPr>
        <w:t>作品维度。</w:t>
      </w:r>
      <w:r>
        <w:rPr>
          <w:rFonts w:ascii="宋体" w:hAnsi="宋体" w:eastAsia="宋体" w:cs="宋体"/>
          <w:sz w:val="24"/>
          <w:szCs w:val="24"/>
        </w:rPr>
        <w:t xml:space="preserve"> 地戏表演录像、服饰实物照片和三维模型、面具三维模型、口述史录音录像等数字资源。</w:t>
      </w:r>
    </w:p>
    <w:p w14:paraId="4F514435">
      <w:pPr>
        <w:spacing w:after="120" w:line="360" w:lineRule="auto"/>
        <w:jc w:val="both"/>
      </w:pPr>
      <w:r>
        <w:rPr>
          <w:rFonts w:ascii="宋体" w:hAnsi="宋体" w:eastAsia="宋体" w:cs="宋体"/>
          <w:b/>
          <w:bCs/>
          <w:sz w:val="24"/>
          <w:szCs w:val="24"/>
        </w:rPr>
        <w:t>文献维度。</w:t>
      </w:r>
      <w:r>
        <w:rPr>
          <w:rFonts w:ascii="宋体" w:hAnsi="宋体" w:eastAsia="宋体" w:cs="宋体"/>
          <w:sz w:val="24"/>
          <w:szCs w:val="24"/>
        </w:rPr>
        <w:t xml:space="preserve"> 学术论文、调查报告、新闻报导、政府文件等相关文献。</w:t>
      </w:r>
    </w:p>
    <w:p w14:paraId="799A7244">
      <w:pPr>
        <w:pStyle w:val="4"/>
        <w:spacing w:before="300" w:after="200"/>
      </w:pPr>
      <w:bookmarkStart w:id="175" w:name="_Toc6466"/>
      <w:r>
        <w:rPr>
          <w:rFonts w:ascii="黑体" w:hAnsi="黑体" w:eastAsia="黑体" w:cs="黑体"/>
          <w:b/>
          <w:bCs/>
          <w:color w:val="000000"/>
          <w:sz w:val="26"/>
          <w:szCs w:val="26"/>
        </w:rPr>
        <w:t>6.5.2 知识图谱构建</w:t>
      </w:r>
      <w:bookmarkEnd w:id="175"/>
    </w:p>
    <w:p w14:paraId="54C05DA6">
      <w:pPr>
        <w:spacing w:after="120" w:line="360" w:lineRule="auto"/>
        <w:jc w:val="both"/>
      </w:pPr>
      <w:r>
        <w:rPr>
          <w:rFonts w:ascii="宋体" w:hAnsi="宋体" w:eastAsia="宋体" w:cs="宋体"/>
          <w:sz w:val="24"/>
          <w:szCs w:val="24"/>
        </w:rPr>
        <w:t>在数据库基础上，构建屯堡非遗知识图谱，将四维数据关联为语义网络。</w:t>
      </w:r>
    </w:p>
    <w:p w14:paraId="2AA3F16A">
      <w:pPr>
        <w:spacing w:after="120" w:line="360" w:lineRule="auto"/>
        <w:jc w:val="both"/>
      </w:pPr>
      <w:r>
        <w:rPr>
          <w:rFonts w:ascii="宋体" w:hAnsi="宋体" w:eastAsia="宋体" w:cs="宋体"/>
          <w:sz w:val="24"/>
          <w:szCs w:val="24"/>
        </w:rPr>
        <w:t>知识图谱的核心实体类型包括：非遗项目、传承人、作品/表演、村寨、节庆、技艺、原料/工具。</w:t>
      </w:r>
    </w:p>
    <w:p w14:paraId="414D1B02">
      <w:pPr>
        <w:spacing w:after="120" w:line="360" w:lineRule="auto"/>
        <w:jc w:val="both"/>
      </w:pPr>
      <w:r>
        <w:rPr>
          <w:rFonts w:ascii="宋体" w:hAnsi="宋体" w:eastAsia="宋体" w:cs="宋体"/>
          <w:sz w:val="24"/>
          <w:szCs w:val="24"/>
        </w:rPr>
        <w:t>核心关系类型包括：传承（师徒关系）、表演（传承人与作品的关系）、属于（作品与非遗项目的关系）、产生于（非遗项目与村寨的关系）、使用（技艺与原料/工具的关系）。</w:t>
      </w:r>
    </w:p>
    <w:p w14:paraId="0E86D7DE">
      <w:pPr>
        <w:spacing w:after="120" w:line="360" w:lineRule="auto"/>
        <w:jc w:val="both"/>
      </w:pPr>
      <w:r>
        <w:rPr>
          <w:rFonts w:ascii="宋体" w:hAnsi="宋体" w:eastAsia="宋体" w:cs="宋体"/>
          <w:sz w:val="24"/>
          <w:szCs w:val="24"/>
        </w:rPr>
        <w:t>知识图谱的应用场景包括：智能检索——输入"关羽面具"，返回所有相关的地戏剧目、传承人、面具实物、文献资料；传承谱系可视化——以图谱形式展示某项技艺的师徒传承脉络；关联发现——发现不同非遗项目之间的隐藏关联，如某个家族同时传承地戏和面具雕刻。</w:t>
      </w:r>
    </w:p>
    <w:p w14:paraId="7E398D67">
      <w:pPr>
        <w:pStyle w:val="3"/>
        <w:spacing w:before="300" w:after="200"/>
      </w:pPr>
      <w:bookmarkStart w:id="176" w:name="_Toc29857"/>
      <w:r>
        <w:rPr>
          <w:rFonts w:ascii="黑体" w:hAnsi="黑体" w:eastAsia="黑体" w:cs="黑体"/>
          <w:b/>
          <w:bCs/>
          <w:color w:val="000000"/>
          <w:sz w:val="28"/>
          <w:szCs w:val="28"/>
        </w:rPr>
        <w:t>6.6 AI在屯堡非遗数字化中的应用</w:t>
      </w:r>
      <w:bookmarkEnd w:id="176"/>
    </w:p>
    <w:p w14:paraId="4823E930">
      <w:pPr>
        <w:pStyle w:val="4"/>
        <w:spacing w:before="300" w:after="200"/>
      </w:pPr>
      <w:bookmarkStart w:id="177" w:name="_Toc14079"/>
      <w:r>
        <w:rPr>
          <w:rFonts w:ascii="黑体" w:hAnsi="黑体" w:eastAsia="黑体" w:cs="黑体"/>
          <w:b/>
          <w:bCs/>
          <w:color w:val="000000"/>
          <w:sz w:val="26"/>
          <w:szCs w:val="26"/>
        </w:rPr>
        <w:t>6.6.1 AI辅助记录与分析</w:t>
      </w:r>
      <w:bookmarkEnd w:id="177"/>
    </w:p>
    <w:p w14:paraId="044B164C">
      <w:pPr>
        <w:spacing w:after="120" w:line="360" w:lineRule="auto"/>
        <w:jc w:val="both"/>
      </w:pPr>
      <w:r>
        <w:rPr>
          <w:rFonts w:ascii="宋体" w:hAnsi="宋体" w:eastAsia="宋体" w:cs="宋体"/>
          <w:b/>
          <w:bCs/>
          <w:sz w:val="24"/>
          <w:szCs w:val="24"/>
        </w:rPr>
        <w:t>自动转录与翻译。</w:t>
      </w:r>
      <w:r>
        <w:rPr>
          <w:rFonts w:ascii="宋体" w:hAnsi="宋体" w:eastAsia="宋体" w:cs="宋体"/>
          <w:sz w:val="24"/>
          <w:szCs w:val="24"/>
        </w:rPr>
        <w:t xml:space="preserve"> 利用语音识别技术，将屯堡话的口述史录音自动转录为文字。针对屯堡话的特殊发音和词汇，需要训练专用语音识别模型。</w:t>
      </w:r>
    </w:p>
    <w:p w14:paraId="07518239">
      <w:pPr>
        <w:spacing w:after="120" w:line="360" w:lineRule="auto"/>
        <w:jc w:val="both"/>
      </w:pPr>
      <w:r>
        <w:rPr>
          <w:rFonts w:ascii="宋体" w:hAnsi="宋体" w:eastAsia="宋体" w:cs="宋体"/>
          <w:b/>
          <w:bCs/>
          <w:sz w:val="24"/>
          <w:szCs w:val="24"/>
        </w:rPr>
        <w:t>动作自动标注。</w:t>
      </w:r>
      <w:r>
        <w:rPr>
          <w:rFonts w:ascii="宋体" w:hAnsi="宋体" w:eastAsia="宋体" w:cs="宋体"/>
          <w:sz w:val="24"/>
          <w:szCs w:val="24"/>
        </w:rPr>
        <w:t xml:space="preserve"> 利用计算机视觉技术，自动识别和标注地戏表演视频中的关键动作、身段和招式，建立动作索引。</w:t>
      </w:r>
    </w:p>
    <w:p w14:paraId="4E33C3E6">
      <w:pPr>
        <w:spacing w:after="120" w:line="360" w:lineRule="auto"/>
        <w:jc w:val="both"/>
      </w:pPr>
      <w:r>
        <w:rPr>
          <w:rFonts w:ascii="宋体" w:hAnsi="宋体" w:eastAsia="宋体" w:cs="宋体"/>
          <w:b/>
          <w:bCs/>
          <w:sz w:val="24"/>
          <w:szCs w:val="24"/>
        </w:rPr>
        <w:t>图案自动识别。</w:t>
      </w:r>
      <w:r>
        <w:rPr>
          <w:rFonts w:ascii="宋体" w:hAnsi="宋体" w:eastAsia="宋体" w:cs="宋体"/>
          <w:sz w:val="24"/>
          <w:szCs w:val="24"/>
        </w:rPr>
        <w:t xml:space="preserve"> 利用图像识别技术，自动分类和标注屯堡服饰刺绣中的纹样类型（龙纹、凤纹、花卉纹、几何纹等）。</w:t>
      </w:r>
    </w:p>
    <w:p w14:paraId="32498990">
      <w:pPr>
        <w:pStyle w:val="4"/>
        <w:spacing w:before="300" w:after="200"/>
      </w:pPr>
      <w:bookmarkStart w:id="178" w:name="_Toc16486"/>
      <w:r>
        <w:rPr>
          <w:rFonts w:ascii="黑体" w:hAnsi="黑体" w:eastAsia="黑体" w:cs="黑体"/>
          <w:b/>
          <w:bCs/>
          <w:color w:val="000000"/>
          <w:sz w:val="26"/>
          <w:szCs w:val="26"/>
        </w:rPr>
        <w:t>6.6.2 AI辅助创作与传播</w:t>
      </w:r>
      <w:bookmarkEnd w:id="178"/>
    </w:p>
    <w:p w14:paraId="619FE835">
      <w:pPr>
        <w:spacing w:after="120" w:line="360" w:lineRule="auto"/>
        <w:jc w:val="both"/>
      </w:pPr>
      <w:r>
        <w:rPr>
          <w:rFonts w:ascii="宋体" w:hAnsi="宋体" w:eastAsia="宋体" w:cs="宋体"/>
          <w:b/>
          <w:bCs/>
          <w:sz w:val="24"/>
          <w:szCs w:val="24"/>
        </w:rPr>
        <w:t>数字面具生成。</w:t>
      </w:r>
      <w:r>
        <w:rPr>
          <w:rFonts w:ascii="宋体" w:hAnsi="宋体" w:eastAsia="宋体" w:cs="宋体"/>
          <w:sz w:val="24"/>
          <w:szCs w:val="24"/>
        </w:rPr>
        <w:t xml:space="preserve"> 利用生成式AI（如Stable Diffusion），在学习传统面具风格的基础上，生成新的面具设计。贵州大学"黔影新生"团队的实践已经证明了这一方向的可行性。</w:t>
      </w:r>
    </w:p>
    <w:p w14:paraId="10B5E22F">
      <w:pPr>
        <w:spacing w:after="120" w:line="360" w:lineRule="auto"/>
        <w:jc w:val="both"/>
      </w:pPr>
      <w:r>
        <w:rPr>
          <w:rFonts w:ascii="宋体" w:hAnsi="宋体" w:eastAsia="宋体" w:cs="宋体"/>
          <w:b/>
          <w:bCs/>
          <w:sz w:val="24"/>
          <w:szCs w:val="24"/>
        </w:rPr>
        <w:t>虚拟传承人。</w:t>
      </w:r>
      <w:r>
        <w:rPr>
          <w:rFonts w:ascii="宋体" w:hAnsi="宋体" w:eastAsia="宋体" w:cs="宋体"/>
          <w:sz w:val="24"/>
          <w:szCs w:val="24"/>
        </w:rPr>
        <w:t xml:space="preserve"> 利用动作捕捉数据和AI语音合成技术，创建"虚拟地戏传承人"，能够在VR环境中演示地戏动作和唱腔，辅助远程教学。</w:t>
      </w:r>
    </w:p>
    <w:p w14:paraId="7608E9B1">
      <w:pPr>
        <w:spacing w:after="120" w:line="360" w:lineRule="auto"/>
        <w:jc w:val="both"/>
      </w:pPr>
      <w:r>
        <w:rPr>
          <w:rFonts w:ascii="宋体" w:hAnsi="宋体" w:eastAsia="宋体" w:cs="宋体"/>
          <w:b/>
          <w:bCs/>
          <w:sz w:val="24"/>
          <w:szCs w:val="24"/>
        </w:rPr>
        <w:t>智能导览。</w:t>
      </w:r>
      <w:r>
        <w:rPr>
          <w:rFonts w:ascii="宋体" w:hAnsi="宋体" w:eastAsia="宋体" w:cs="宋体"/>
          <w:sz w:val="24"/>
          <w:szCs w:val="24"/>
        </w:rPr>
        <w:t xml:space="preserve"> 利用自然语言处理技术，开发屯堡文化智能问答系统，游客可以通过语音或文字提问，系统自动从知识图谱中检索答案。</w:t>
      </w:r>
    </w:p>
    <w:p w14:paraId="248D2BE5">
      <w:pPr>
        <w:pStyle w:val="3"/>
        <w:spacing w:before="300" w:after="200"/>
      </w:pPr>
      <w:bookmarkStart w:id="179" w:name="_Toc2274"/>
      <w:r>
        <w:rPr>
          <w:rFonts w:ascii="黑体" w:hAnsi="黑体" w:eastAsia="黑体" w:cs="黑体"/>
          <w:b/>
          <w:bCs/>
          <w:color w:val="000000"/>
          <w:sz w:val="28"/>
          <w:szCs w:val="28"/>
        </w:rPr>
        <w:t>6.7 知识产权与伦理保护</w:t>
      </w:r>
      <w:bookmarkEnd w:id="179"/>
    </w:p>
    <w:p w14:paraId="1DC08579">
      <w:pPr>
        <w:pStyle w:val="4"/>
        <w:spacing w:before="300" w:after="200"/>
      </w:pPr>
      <w:bookmarkStart w:id="180" w:name="_Toc16076"/>
      <w:r>
        <w:rPr>
          <w:rFonts w:ascii="黑体" w:hAnsi="黑体" w:eastAsia="黑体" w:cs="黑体"/>
          <w:b/>
          <w:bCs/>
          <w:color w:val="000000"/>
          <w:sz w:val="26"/>
          <w:szCs w:val="26"/>
        </w:rPr>
        <w:t>6.7.1 数字化成果的知识产权</w:t>
      </w:r>
      <w:bookmarkEnd w:id="180"/>
    </w:p>
    <w:p w14:paraId="2CAE5A85">
      <w:pPr>
        <w:spacing w:after="120" w:line="360" w:lineRule="auto"/>
        <w:jc w:val="both"/>
      </w:pPr>
      <w:r>
        <w:rPr>
          <w:rFonts w:ascii="宋体" w:hAnsi="宋体" w:eastAsia="宋体" w:cs="宋体"/>
          <w:sz w:val="24"/>
          <w:szCs w:val="24"/>
        </w:rPr>
        <w:t>屯堡非遗数字化成果的知识产权归属是一个复杂问题。数字化过程中产生的照片、视频、三维模型等，其创作者（摄影者、建模者）享有著作权。但这些数字资源所记录的内容（地戏表演、服饰样式、面具造型）属于屯堡社区的共同文化遗产，不应被外部机构垄断。</w:t>
      </w:r>
    </w:p>
    <w:p w14:paraId="0C8988E9">
      <w:pPr>
        <w:spacing w:after="120" w:line="360" w:lineRule="auto"/>
        <w:jc w:val="both"/>
      </w:pPr>
      <w:r>
        <w:rPr>
          <w:rFonts w:ascii="宋体" w:hAnsi="宋体" w:eastAsia="宋体" w:cs="宋体"/>
          <w:sz w:val="24"/>
          <w:szCs w:val="24"/>
        </w:rPr>
        <w:t>建议采用"社区知识产权"（Community Intellectual Property）框架：数字化成果的知识产权由社区集体持有，具体管理机构为村寨文化协会或非遗保护中心。外部机构使用数字化成果需获得社区许可并分享利益。</w:t>
      </w:r>
    </w:p>
    <w:p w14:paraId="7A0531BB">
      <w:pPr>
        <w:pStyle w:val="4"/>
        <w:spacing w:before="300" w:after="200"/>
      </w:pPr>
      <w:bookmarkStart w:id="181" w:name="_Toc30371"/>
      <w:r>
        <w:rPr>
          <w:rFonts w:ascii="黑体" w:hAnsi="黑体" w:eastAsia="黑体" w:cs="黑体"/>
          <w:b/>
          <w:bCs/>
          <w:color w:val="000000"/>
          <w:sz w:val="26"/>
          <w:szCs w:val="26"/>
        </w:rPr>
        <w:t>6.7.2 事先知情同意</w:t>
      </w:r>
      <w:bookmarkEnd w:id="181"/>
    </w:p>
    <w:p w14:paraId="2A60B9D6">
      <w:pPr>
        <w:spacing w:after="120" w:line="360" w:lineRule="auto"/>
        <w:jc w:val="both"/>
      </w:pPr>
      <w:r>
        <w:rPr>
          <w:rFonts w:ascii="宋体" w:hAnsi="宋体" w:eastAsia="宋体" w:cs="宋体"/>
          <w:sz w:val="24"/>
          <w:szCs w:val="24"/>
        </w:rPr>
        <w:t>在开展非遗数字化采集前，必须获得传承人和社区的事先知情同意。同意书应说明：采集的目的和用途；采集的内容和方式；数字化成果的存储和访问权限；商业利用的利益分享机制。</w:t>
      </w:r>
    </w:p>
    <w:p w14:paraId="392D1DAF">
      <w:pPr>
        <w:pStyle w:val="4"/>
        <w:spacing w:before="300" w:after="200"/>
      </w:pPr>
      <w:bookmarkStart w:id="182" w:name="_Toc27469"/>
      <w:r>
        <w:rPr>
          <w:rFonts w:ascii="黑体" w:hAnsi="黑体" w:eastAsia="黑体" w:cs="黑体"/>
          <w:b/>
          <w:bCs/>
          <w:color w:val="000000"/>
          <w:sz w:val="26"/>
          <w:szCs w:val="26"/>
        </w:rPr>
        <w:t>6.7.3 数据安全与隐私保护</w:t>
      </w:r>
      <w:bookmarkEnd w:id="182"/>
    </w:p>
    <w:p w14:paraId="6C1F7BAD">
      <w:pPr>
        <w:spacing w:after="120" w:line="360" w:lineRule="auto"/>
        <w:jc w:val="both"/>
      </w:pPr>
      <w:r>
        <w:rPr>
          <w:rFonts w:ascii="宋体" w:hAnsi="宋体" w:eastAsia="宋体" w:cs="宋体"/>
          <w:sz w:val="24"/>
          <w:szCs w:val="24"/>
        </w:rPr>
        <w:t>口述史访谈中可能涉及个人隐私信息（家庭关系、健康状况、经济状况等），需要制定数据安全与隐私保护政策。敏感信息的访问需要分级授权，公开传播前需进行脱敏处理。</w:t>
      </w:r>
    </w:p>
    <w:p w14:paraId="63C20001">
      <w:pPr>
        <w:pStyle w:val="3"/>
        <w:spacing w:before="300" w:after="200"/>
      </w:pPr>
      <w:bookmarkStart w:id="183" w:name="_Toc32241"/>
      <w:r>
        <w:rPr>
          <w:rFonts w:ascii="黑体" w:hAnsi="黑体" w:eastAsia="黑体" w:cs="黑体"/>
          <w:b/>
          <w:bCs/>
          <w:color w:val="000000"/>
          <w:sz w:val="28"/>
          <w:szCs w:val="28"/>
        </w:rPr>
        <w:t>本章小结</w:t>
      </w:r>
      <w:bookmarkEnd w:id="183"/>
    </w:p>
    <w:p w14:paraId="18B6D106">
      <w:pPr>
        <w:spacing w:after="120" w:line="360" w:lineRule="auto"/>
        <w:jc w:val="both"/>
      </w:pPr>
      <w:r>
        <w:rPr>
          <w:rFonts w:ascii="宋体" w:hAnsi="宋体" w:eastAsia="宋体" w:cs="宋体"/>
          <w:sz w:val="24"/>
          <w:szCs w:val="24"/>
        </w:rPr>
        <w:t>非物质文化遗产数字化面临着"非物质性""活态性"和"主体性"三重特殊挑战。地戏表演的数字化需要多机位视频、动作捕捉和音频分析的综合运用；传统手工艺的数字化需要记录完整工艺流程和传承人的隐性知识；口述史采集是抢救性保护的重要手段。AI技术在自动记录、智能分析和创意传播方面有广阔应用前景。知识产权保护和社区事先知情同意是非遗数字化必须遵守的伦理底线。</w:t>
      </w:r>
    </w:p>
    <w:p w14:paraId="724A3F92">
      <w:pPr>
        <w:pStyle w:val="3"/>
        <w:spacing w:before="300" w:after="200"/>
      </w:pPr>
      <w:bookmarkStart w:id="184" w:name="_Toc25744"/>
      <w:r>
        <w:rPr>
          <w:rFonts w:ascii="黑体" w:hAnsi="黑体" w:eastAsia="黑体" w:cs="黑体"/>
          <w:b/>
          <w:bCs/>
          <w:color w:val="000000"/>
          <w:sz w:val="28"/>
          <w:szCs w:val="28"/>
        </w:rPr>
        <w:t>思考与练习</w:t>
      </w:r>
      <w:bookmarkEnd w:id="184"/>
    </w:p>
    <w:p w14:paraId="5CD41ECF">
      <w:pPr>
        <w:pStyle w:val="19"/>
        <w:numPr>
          <w:ilvl w:val="0"/>
          <w:numId w:val="2"/>
        </w:numPr>
        <w:spacing w:after="60" w:line="340" w:lineRule="auto"/>
      </w:pPr>
      <w:r>
        <w:rPr>
          <w:rFonts w:ascii="宋体" w:hAnsi="宋体" w:eastAsia="宋体" w:cs="宋体"/>
          <w:sz w:val="24"/>
          <w:szCs w:val="24"/>
        </w:rPr>
        <w:t>设计一份地戏表演的数字化采集方案，包括设备清单、机位图和操作流程。</w:t>
      </w:r>
    </w:p>
    <w:p w14:paraId="1DC8E64A">
      <w:pPr>
        <w:pStyle w:val="19"/>
        <w:numPr>
          <w:ilvl w:val="0"/>
          <w:numId w:val="2"/>
        </w:numPr>
        <w:spacing w:after="60" w:line="340" w:lineRule="auto"/>
      </w:pPr>
      <w:r>
        <w:rPr>
          <w:rFonts w:ascii="宋体" w:hAnsi="宋体" w:eastAsia="宋体" w:cs="宋体"/>
          <w:sz w:val="24"/>
          <w:szCs w:val="24"/>
        </w:rPr>
        <w:t>讨论：如何在不牺牲非遗"活态性"的前提下完成数字化记录？</w:t>
      </w:r>
    </w:p>
    <w:p w14:paraId="268B1C72">
      <w:pPr>
        <w:pStyle w:val="19"/>
        <w:numPr>
          <w:ilvl w:val="0"/>
          <w:numId w:val="2"/>
        </w:numPr>
        <w:spacing w:after="60" w:line="340" w:lineRule="auto"/>
      </w:pPr>
      <w:r>
        <w:rPr>
          <w:rFonts w:ascii="宋体" w:hAnsi="宋体" w:eastAsia="宋体" w:cs="宋体"/>
          <w:sz w:val="24"/>
          <w:szCs w:val="24"/>
        </w:rPr>
        <w:t>为屯堡非遗知识图谱设计实体类型和关系类型。</w:t>
      </w:r>
    </w:p>
    <w:p w14:paraId="48D16C9D">
      <w:pPr>
        <w:pStyle w:val="19"/>
        <w:numPr>
          <w:ilvl w:val="0"/>
          <w:numId w:val="2"/>
        </w:numPr>
        <w:spacing w:after="60" w:line="340" w:lineRule="auto"/>
      </w:pPr>
      <w:r>
        <w:rPr>
          <w:rFonts w:ascii="宋体" w:hAnsi="宋体" w:eastAsia="宋体" w:cs="宋体"/>
          <w:sz w:val="24"/>
          <w:szCs w:val="24"/>
        </w:rPr>
        <w:t>分析AI在非遗数字化中的机遇和风险。</w:t>
      </w:r>
    </w:p>
    <w:p w14:paraId="1C39F485">
      <w:pPr>
        <w:pStyle w:val="19"/>
        <w:numPr>
          <w:ilvl w:val="0"/>
          <w:numId w:val="2"/>
        </w:numPr>
        <w:spacing w:after="60" w:line="340" w:lineRule="auto"/>
      </w:pPr>
      <w:r>
        <w:rPr>
          <w:rFonts w:ascii="宋体" w:hAnsi="宋体" w:eastAsia="宋体" w:cs="宋体"/>
          <w:sz w:val="24"/>
          <w:szCs w:val="24"/>
        </w:rPr>
        <w:t>起草一份屯堡非遗数字化的事先知情同意书模板。</w:t>
      </w:r>
    </w:p>
    <w:p w14:paraId="0252F66A">
      <w:pPr>
        <w:pStyle w:val="3"/>
        <w:spacing w:before="300" w:after="200"/>
      </w:pPr>
      <w:bookmarkStart w:id="185" w:name="_Toc17344"/>
      <w:r>
        <w:rPr>
          <w:rFonts w:ascii="黑体" w:hAnsi="黑体" w:eastAsia="黑体" w:cs="黑体"/>
          <w:b/>
          <w:bCs/>
          <w:color w:val="000000"/>
          <w:sz w:val="28"/>
          <w:szCs w:val="28"/>
        </w:rPr>
        <w:t>知识卡片：非遗数字化伦理原则</w:t>
      </w:r>
      <w:bookmarkEnd w:id="18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147C0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CB87F47">
            <w:pPr>
              <w:spacing w:after="0"/>
            </w:pPr>
            <w:r>
              <w:rPr>
                <w:rFonts w:ascii="宋体" w:hAnsi="宋体" w:eastAsia="宋体" w:cs="宋体"/>
                <w:b/>
                <w:bCs/>
                <w:color w:val="FFFFFF"/>
                <w:sz w:val="20"/>
                <w:szCs w:val="20"/>
              </w:rPr>
              <w:t>原则</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13B20D2">
            <w:pPr>
              <w:spacing w:after="0"/>
            </w:pPr>
            <w:r>
              <w:rPr>
                <w:rFonts w:ascii="宋体" w:hAnsi="宋体" w:eastAsia="宋体" w:cs="宋体"/>
                <w:b/>
                <w:bCs/>
                <w:color w:val="FFFFFF"/>
                <w:sz w:val="20"/>
                <w:szCs w:val="20"/>
              </w:rPr>
              <w:t>核心要求</w:t>
            </w:r>
          </w:p>
        </w:tc>
      </w:tr>
      <w:tr w14:paraId="60AC3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C20E39">
            <w:pPr>
              <w:spacing w:after="0"/>
            </w:pPr>
            <w:r>
              <w:rPr>
                <w:rFonts w:ascii="宋体" w:hAnsi="宋体" w:eastAsia="宋体" w:cs="宋体"/>
                <w:sz w:val="20"/>
                <w:szCs w:val="20"/>
              </w:rPr>
              <w:t>事先知情同意</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7A7F09">
            <w:pPr>
              <w:spacing w:after="0"/>
            </w:pPr>
            <w:r>
              <w:rPr>
                <w:rFonts w:ascii="宋体" w:hAnsi="宋体" w:eastAsia="宋体" w:cs="宋体"/>
                <w:sz w:val="20"/>
                <w:szCs w:val="20"/>
              </w:rPr>
              <w:t>采集前获得传承人和社区的自由、事先、知情同意</w:t>
            </w:r>
          </w:p>
        </w:tc>
      </w:tr>
      <w:tr w14:paraId="6F543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4C27D43">
            <w:pPr>
              <w:spacing w:after="0"/>
            </w:pPr>
            <w:r>
              <w:rPr>
                <w:rFonts w:ascii="宋体" w:hAnsi="宋体" w:eastAsia="宋体" w:cs="宋体"/>
                <w:sz w:val="20"/>
                <w:szCs w:val="20"/>
              </w:rPr>
              <w:t>社区参与</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11F54D">
            <w:pPr>
              <w:spacing w:after="0"/>
            </w:pPr>
            <w:r>
              <w:rPr>
                <w:rFonts w:ascii="宋体" w:hAnsi="宋体" w:eastAsia="宋体" w:cs="宋体"/>
                <w:sz w:val="20"/>
                <w:szCs w:val="20"/>
              </w:rPr>
              <w:t>社区成员参与数字化的全过程，不仅是"被记录者"</w:t>
            </w:r>
          </w:p>
        </w:tc>
      </w:tr>
      <w:tr w14:paraId="61850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CD583F">
            <w:pPr>
              <w:spacing w:after="0"/>
            </w:pPr>
            <w:r>
              <w:rPr>
                <w:rFonts w:ascii="宋体" w:hAnsi="宋体" w:eastAsia="宋体" w:cs="宋体"/>
                <w:sz w:val="20"/>
                <w:szCs w:val="20"/>
              </w:rPr>
              <w:t>利益分享</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4960D54">
            <w:pPr>
              <w:spacing w:after="0"/>
            </w:pPr>
            <w:r>
              <w:rPr>
                <w:rFonts w:ascii="宋体" w:hAnsi="宋体" w:eastAsia="宋体" w:cs="宋体"/>
                <w:sz w:val="20"/>
                <w:szCs w:val="20"/>
              </w:rPr>
              <w:t>数字化成果的商业利用需与社区分享利益</w:t>
            </w:r>
          </w:p>
        </w:tc>
      </w:tr>
      <w:tr w14:paraId="60BF1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A39802">
            <w:pPr>
              <w:spacing w:after="0"/>
            </w:pPr>
            <w:r>
              <w:rPr>
                <w:rFonts w:ascii="宋体" w:hAnsi="宋体" w:eastAsia="宋体" w:cs="宋体"/>
                <w:sz w:val="20"/>
                <w:szCs w:val="20"/>
              </w:rPr>
              <w:t>文化尊重</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B680EC">
            <w:pPr>
              <w:spacing w:after="0"/>
            </w:pPr>
            <w:r>
              <w:rPr>
                <w:rFonts w:ascii="宋体" w:hAnsi="宋体" w:eastAsia="宋体" w:cs="宋体"/>
                <w:sz w:val="20"/>
                <w:szCs w:val="20"/>
              </w:rPr>
              <w:t>尊重传承人对文化表达的解释权和决定权</w:t>
            </w:r>
          </w:p>
        </w:tc>
      </w:tr>
      <w:tr w14:paraId="7BB1F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132AC6">
            <w:pPr>
              <w:spacing w:after="0"/>
            </w:pPr>
            <w:r>
              <w:rPr>
                <w:rFonts w:ascii="宋体" w:hAnsi="宋体" w:eastAsia="宋体" w:cs="宋体"/>
                <w:sz w:val="20"/>
                <w:szCs w:val="20"/>
              </w:rPr>
              <w:t>数据安全</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08C83B1">
            <w:pPr>
              <w:spacing w:after="0"/>
            </w:pPr>
            <w:r>
              <w:rPr>
                <w:rFonts w:ascii="宋体" w:hAnsi="宋体" w:eastAsia="宋体" w:cs="宋体"/>
                <w:sz w:val="20"/>
                <w:szCs w:val="20"/>
              </w:rPr>
              <w:t>保护个人隐私和敏感文化信息</w:t>
            </w:r>
          </w:p>
        </w:tc>
      </w:tr>
    </w:tbl>
    <w:p w14:paraId="085266AB">
      <w:r>
        <w:br w:type="page"/>
      </w:r>
    </w:p>
    <w:p w14:paraId="310D713E">
      <w:pPr>
        <w:pStyle w:val="2"/>
        <w:spacing w:before="400" w:after="200"/>
      </w:pPr>
      <w:bookmarkStart w:id="186" w:name="_Toc24825"/>
      <w:r>
        <w:rPr>
          <w:rFonts w:ascii="黑体" w:hAnsi="黑体" w:eastAsia="黑体" w:cs="黑体"/>
          <w:b/>
          <w:bCs/>
          <w:color w:val="1F4E79"/>
          <w:sz w:val="32"/>
          <w:szCs w:val="32"/>
        </w:rPr>
        <w:t>第 7 章  屯堡文化数据库与知识图谱</w:t>
      </w:r>
      <w:bookmarkEnd w:id="186"/>
    </w:p>
    <w:p w14:paraId="6376A819">
      <w:pPr>
        <w:pStyle w:val="3"/>
        <w:spacing w:before="300" w:after="200"/>
      </w:pPr>
      <w:bookmarkStart w:id="187" w:name="_Toc15644"/>
      <w:r>
        <w:rPr>
          <w:rFonts w:ascii="黑体" w:hAnsi="黑体" w:eastAsia="黑体" w:cs="黑体"/>
          <w:b/>
          <w:bCs/>
          <w:color w:val="000000"/>
          <w:sz w:val="28"/>
          <w:szCs w:val="28"/>
        </w:rPr>
        <w:t>学习目标</w:t>
      </w:r>
      <w:bookmarkEnd w:id="187"/>
    </w:p>
    <w:p w14:paraId="00CAA3D0">
      <w:pPr>
        <w:pStyle w:val="19"/>
        <w:numPr>
          <w:ilvl w:val="0"/>
          <w:numId w:val="1"/>
        </w:numPr>
        <w:spacing w:after="60" w:line="340" w:lineRule="auto"/>
      </w:pPr>
      <w:r>
        <w:rPr>
          <w:rFonts w:ascii="宋体" w:hAnsi="宋体" w:eastAsia="宋体" w:cs="宋体"/>
          <w:sz w:val="24"/>
          <w:szCs w:val="24"/>
        </w:rPr>
        <w:t>理解文化数据库与知识图谱的核心概念和技术原理</w:t>
      </w:r>
    </w:p>
    <w:p w14:paraId="57269A52">
      <w:pPr>
        <w:pStyle w:val="19"/>
        <w:numPr>
          <w:ilvl w:val="0"/>
          <w:numId w:val="1"/>
        </w:numPr>
        <w:spacing w:after="60" w:line="340" w:lineRule="auto"/>
      </w:pPr>
      <w:r>
        <w:rPr>
          <w:rFonts w:ascii="宋体" w:hAnsi="宋体" w:eastAsia="宋体" w:cs="宋体"/>
          <w:sz w:val="24"/>
          <w:szCs w:val="24"/>
        </w:rPr>
        <w:t>掌握屯堡文化数据标准与元数据规范的设计方法</w:t>
      </w:r>
    </w:p>
    <w:p w14:paraId="11815CF2">
      <w:pPr>
        <w:pStyle w:val="19"/>
        <w:numPr>
          <w:ilvl w:val="0"/>
          <w:numId w:val="1"/>
        </w:numPr>
        <w:spacing w:after="60" w:line="340" w:lineRule="auto"/>
      </w:pPr>
      <w:r>
        <w:rPr>
          <w:rFonts w:ascii="宋体" w:hAnsi="宋体" w:eastAsia="宋体" w:cs="宋体"/>
          <w:sz w:val="24"/>
          <w:szCs w:val="24"/>
        </w:rPr>
        <w:t>了解知识图谱构建的完整技术流程</w:t>
      </w:r>
    </w:p>
    <w:p w14:paraId="7A38C3BC">
      <w:pPr>
        <w:pStyle w:val="19"/>
        <w:numPr>
          <w:ilvl w:val="0"/>
          <w:numId w:val="1"/>
        </w:numPr>
        <w:spacing w:after="60" w:line="340" w:lineRule="auto"/>
      </w:pPr>
      <w:r>
        <w:rPr>
          <w:rFonts w:ascii="宋体" w:hAnsi="宋体" w:eastAsia="宋体" w:cs="宋体"/>
          <w:sz w:val="24"/>
          <w:szCs w:val="24"/>
        </w:rPr>
        <w:t>学习知识图谱在文化遗产领域的应用场景</w:t>
      </w:r>
    </w:p>
    <w:p w14:paraId="08648505">
      <w:pPr>
        <w:pStyle w:val="19"/>
        <w:numPr>
          <w:ilvl w:val="0"/>
          <w:numId w:val="1"/>
        </w:numPr>
        <w:spacing w:after="60" w:line="340" w:lineRule="auto"/>
      </w:pPr>
      <w:r>
        <w:rPr>
          <w:rFonts w:ascii="宋体" w:hAnsi="宋体" w:eastAsia="宋体" w:cs="宋体"/>
          <w:sz w:val="24"/>
          <w:szCs w:val="24"/>
        </w:rPr>
        <w:t>能够设计屯堡文化大数据平台的总体架构</w:t>
      </w:r>
    </w:p>
    <w:p w14:paraId="5058281D">
      <w:pPr>
        <w:pStyle w:val="3"/>
        <w:spacing w:before="300" w:after="200"/>
      </w:pPr>
      <w:bookmarkStart w:id="188" w:name="_Toc8377"/>
      <w:r>
        <w:rPr>
          <w:rFonts w:ascii="黑体" w:hAnsi="黑体" w:eastAsia="黑体" w:cs="黑体"/>
          <w:b/>
          <w:bCs/>
          <w:color w:val="000000"/>
          <w:sz w:val="28"/>
          <w:szCs w:val="28"/>
        </w:rPr>
        <w:t>导入案例：从碎片到网络</w:t>
      </w:r>
      <w:bookmarkEnd w:id="188"/>
    </w:p>
    <w:p w14:paraId="551D8613">
      <w:pPr>
        <w:spacing w:after="120" w:line="360" w:lineRule="auto"/>
        <w:jc w:val="both"/>
      </w:pPr>
      <w:r>
        <w:rPr>
          <w:rFonts w:ascii="宋体" w:hAnsi="宋体" w:eastAsia="宋体" w:cs="宋体"/>
          <w:sz w:val="24"/>
          <w:szCs w:val="24"/>
        </w:rPr>
        <w:t>2025年，安顺学院数字文旅专业的研究团队遇到了一个典型问题：关于屯堡文化的资料分散在数十个来源中——学术论文在知网、老照片在档案馆、地戏视频在硬盘里、口述史录音在不同研究者的电脑上。这些数据格式各异、标准不一，彼此之间缺乏关联，形成了一个个"信息孤岛"。</w:t>
      </w:r>
    </w:p>
    <w:p w14:paraId="7FDD7DB9">
      <w:pPr>
        <w:spacing w:after="120" w:line="360" w:lineRule="auto"/>
        <w:jc w:val="both"/>
      </w:pPr>
      <w:r>
        <w:rPr>
          <w:rFonts w:ascii="宋体" w:hAnsi="宋体" w:eastAsia="宋体" w:cs="宋体"/>
          <w:sz w:val="24"/>
          <w:szCs w:val="24"/>
        </w:rPr>
        <w:t>团队决定建设一个统一的屯堡文化知识图谱。他们花了半年时间，从各个来源提取了约5万条实体信息（人物、建筑、非遗项目、文献等），定义了20余种关系类型，构建了一个包含10万条关联的知识网络。</w:t>
      </w:r>
    </w:p>
    <w:p w14:paraId="19B96A5C">
      <w:pPr>
        <w:spacing w:after="120" w:line="360" w:lineRule="auto"/>
        <w:jc w:val="both"/>
      </w:pPr>
      <w:r>
        <w:rPr>
          <w:rFonts w:ascii="宋体" w:hAnsi="宋体" w:eastAsia="宋体" w:cs="宋体"/>
          <w:sz w:val="24"/>
          <w:szCs w:val="24"/>
        </w:rPr>
        <w:t>现在，研究者在系统中搜索"天龙屯堡"，不仅能得到天龙屯堡的基本介绍，还能看到与之相关的所有信息——曾经驻扎的卫所、传承的地戏剧目、有名的传承人、相关的学术论文、不同年代的老照片——所有信息以可视化的知识网络呈现。一个"信息孤岛"被整合成了一个"知识大陆"。</w:t>
      </w:r>
    </w:p>
    <w:p w14:paraId="1D9A3245">
      <w:pPr>
        <w:pStyle w:val="3"/>
        <w:spacing w:before="300" w:after="200"/>
      </w:pPr>
      <w:bookmarkStart w:id="189" w:name="_Toc4994"/>
      <w:r>
        <w:rPr>
          <w:rFonts w:ascii="黑体" w:hAnsi="黑体" w:eastAsia="黑体" w:cs="黑体"/>
          <w:b/>
          <w:bCs/>
          <w:color w:val="000000"/>
          <w:sz w:val="28"/>
          <w:szCs w:val="28"/>
        </w:rPr>
        <w:t>7.1 屯堡文化数据资源概述</w:t>
      </w:r>
      <w:bookmarkEnd w:id="189"/>
    </w:p>
    <w:p w14:paraId="72795988">
      <w:pPr>
        <w:pStyle w:val="4"/>
        <w:spacing w:before="300" w:after="200"/>
      </w:pPr>
      <w:bookmarkStart w:id="190" w:name="_Toc4409"/>
      <w:r>
        <w:rPr>
          <w:rFonts w:ascii="黑体" w:hAnsi="黑体" w:eastAsia="黑体" w:cs="黑体"/>
          <w:b/>
          <w:bCs/>
          <w:color w:val="000000"/>
          <w:sz w:val="26"/>
          <w:szCs w:val="26"/>
        </w:rPr>
        <w:t>7.1.1 数据类型与来源</w:t>
      </w:r>
      <w:bookmarkEnd w:id="190"/>
    </w:p>
    <w:p w14:paraId="0161D1DA">
      <w:pPr>
        <w:spacing w:after="120" w:line="360" w:lineRule="auto"/>
        <w:jc w:val="both"/>
      </w:pPr>
      <w:r>
        <w:rPr>
          <w:rFonts w:ascii="宋体" w:hAnsi="宋体" w:eastAsia="宋体" w:cs="宋体"/>
          <w:sz w:val="24"/>
          <w:szCs w:val="24"/>
        </w:rPr>
        <w:t>屯堡文化数据资源涵盖多种类型：</w:t>
      </w:r>
    </w:p>
    <w:p w14:paraId="47BA3993">
      <w:pPr>
        <w:spacing w:after="120" w:line="360" w:lineRule="auto"/>
        <w:jc w:val="both"/>
      </w:pPr>
      <w:r>
        <w:rPr>
          <w:rFonts w:ascii="宋体" w:hAnsi="宋体" w:eastAsia="宋体" w:cs="宋体"/>
          <w:b/>
          <w:bCs/>
          <w:sz w:val="24"/>
          <w:szCs w:val="24"/>
        </w:rPr>
        <w:t>文本数据。</w:t>
      </w:r>
      <w:r>
        <w:rPr>
          <w:rFonts w:ascii="宋体" w:hAnsi="宋体" w:eastAsia="宋体" w:cs="宋体"/>
          <w:sz w:val="24"/>
          <w:szCs w:val="24"/>
        </w:rPr>
        <w:t xml:space="preserve"> 学术论文、调查报告、地方志、家谱族谱、契约文书、碑刻铭文、新闻报道等。</w:t>
      </w:r>
    </w:p>
    <w:p w14:paraId="3719C270">
      <w:pPr>
        <w:spacing w:after="120" w:line="360" w:lineRule="auto"/>
        <w:jc w:val="both"/>
      </w:pPr>
      <w:r>
        <w:rPr>
          <w:rFonts w:ascii="宋体" w:hAnsi="宋体" w:eastAsia="宋体" w:cs="宋体"/>
          <w:b/>
          <w:bCs/>
          <w:sz w:val="24"/>
          <w:szCs w:val="24"/>
        </w:rPr>
        <w:t>影像数据。</w:t>
      </w:r>
      <w:r>
        <w:rPr>
          <w:rFonts w:ascii="宋体" w:hAnsi="宋体" w:eastAsia="宋体" w:cs="宋体"/>
          <w:sz w:val="24"/>
          <w:szCs w:val="24"/>
        </w:rPr>
        <w:t xml:space="preserve"> 历史照片、航拍影像、建筑测绘图、地戏表演录像、民俗活动视频、口述史录音录像等。</w:t>
      </w:r>
    </w:p>
    <w:p w14:paraId="36CF7922">
      <w:pPr>
        <w:spacing w:after="120" w:line="360" w:lineRule="auto"/>
        <w:jc w:val="both"/>
      </w:pPr>
      <w:r>
        <w:rPr>
          <w:rFonts w:ascii="宋体" w:hAnsi="宋体" w:eastAsia="宋体" w:cs="宋体"/>
          <w:b/>
          <w:bCs/>
          <w:sz w:val="24"/>
          <w:szCs w:val="24"/>
        </w:rPr>
        <w:t>空间数据。</w:t>
      </w:r>
      <w:r>
        <w:rPr>
          <w:rFonts w:ascii="宋体" w:hAnsi="宋体" w:eastAsia="宋体" w:cs="宋体"/>
          <w:sz w:val="24"/>
          <w:szCs w:val="24"/>
        </w:rPr>
        <w:t xml:space="preserve"> 地形图、卫星影像、三维点云、三维模型、GIS数据等。</w:t>
      </w:r>
    </w:p>
    <w:p w14:paraId="0CF5E657">
      <w:pPr>
        <w:spacing w:after="120" w:line="360" w:lineRule="auto"/>
        <w:jc w:val="both"/>
      </w:pPr>
      <w:r>
        <w:rPr>
          <w:rFonts w:ascii="宋体" w:hAnsi="宋体" w:eastAsia="宋体" w:cs="宋体"/>
          <w:b/>
          <w:bCs/>
          <w:sz w:val="24"/>
          <w:szCs w:val="24"/>
        </w:rPr>
        <w:t>属性数据。</w:t>
      </w:r>
      <w:r>
        <w:rPr>
          <w:rFonts w:ascii="宋体" w:hAnsi="宋体" w:eastAsia="宋体" w:cs="宋体"/>
          <w:sz w:val="24"/>
          <w:szCs w:val="24"/>
        </w:rPr>
        <w:t xml:space="preserve"> 文物保护单位登记表、非遗项目申报书、传承人档案、建筑病害调查表等。</w:t>
      </w:r>
    </w:p>
    <w:p w14:paraId="2629C530">
      <w:pPr>
        <w:spacing w:after="120" w:line="360" w:lineRule="auto"/>
        <w:jc w:val="both"/>
      </w:pPr>
      <w:r>
        <w:rPr>
          <w:rFonts w:ascii="宋体" w:hAnsi="宋体" w:eastAsia="宋体" w:cs="宋体"/>
          <w:b/>
          <w:bCs/>
          <w:sz w:val="24"/>
          <w:szCs w:val="24"/>
        </w:rPr>
        <w:t>社交媒体数据。</w:t>
      </w:r>
      <w:r>
        <w:rPr>
          <w:rFonts w:ascii="宋体" w:hAnsi="宋体" w:eastAsia="宋体" w:cs="宋体"/>
          <w:sz w:val="24"/>
          <w:szCs w:val="24"/>
        </w:rPr>
        <w:t xml:space="preserve"> 抖音、微博、小红书等平台上关于屯堡的UGC内容。</w:t>
      </w:r>
    </w:p>
    <w:p w14:paraId="7F904204">
      <w:pPr>
        <w:pStyle w:val="4"/>
        <w:spacing w:before="300" w:after="200"/>
      </w:pPr>
      <w:bookmarkStart w:id="191" w:name="_Toc18700"/>
      <w:r>
        <w:rPr>
          <w:rFonts w:ascii="黑体" w:hAnsi="黑体" w:eastAsia="黑体" w:cs="黑体"/>
          <w:b/>
          <w:bCs/>
          <w:color w:val="000000"/>
          <w:sz w:val="26"/>
          <w:szCs w:val="26"/>
        </w:rPr>
        <w:t>7.1.2 数据现状与问题</w:t>
      </w:r>
      <w:bookmarkEnd w:id="191"/>
    </w:p>
    <w:p w14:paraId="2714E2B8">
      <w:pPr>
        <w:spacing w:after="120" w:line="360" w:lineRule="auto"/>
        <w:jc w:val="both"/>
      </w:pPr>
      <w:r>
        <w:rPr>
          <w:rFonts w:ascii="宋体" w:hAnsi="宋体" w:eastAsia="宋体" w:cs="宋体"/>
          <w:sz w:val="24"/>
          <w:szCs w:val="24"/>
        </w:rPr>
        <w:t>当前屯堡文化数据资源存在以下问题：</w:t>
      </w:r>
    </w:p>
    <w:p w14:paraId="66F1C916">
      <w:pPr>
        <w:spacing w:after="120" w:line="360" w:lineRule="auto"/>
        <w:jc w:val="both"/>
      </w:pPr>
      <w:r>
        <w:rPr>
          <w:rFonts w:ascii="宋体" w:hAnsi="宋体" w:eastAsia="宋体" w:cs="宋体"/>
          <w:b/>
          <w:bCs/>
          <w:sz w:val="24"/>
          <w:szCs w:val="24"/>
        </w:rPr>
        <w:t>分散化。</w:t>
      </w:r>
      <w:r>
        <w:rPr>
          <w:rFonts w:ascii="宋体" w:hAnsi="宋体" w:eastAsia="宋体" w:cs="宋体"/>
          <w:sz w:val="24"/>
          <w:szCs w:val="24"/>
        </w:rPr>
        <w:t xml:space="preserve"> 数据分散在文旅局、文物局、档案馆、高校、研究机构和个人手中，缺乏统一的管理和共享机制。</w:t>
      </w:r>
    </w:p>
    <w:p w14:paraId="2CD7A736">
      <w:pPr>
        <w:spacing w:after="120" w:line="360" w:lineRule="auto"/>
        <w:jc w:val="both"/>
      </w:pPr>
      <w:r>
        <w:rPr>
          <w:rFonts w:ascii="宋体" w:hAnsi="宋体" w:eastAsia="宋体" w:cs="宋体"/>
          <w:b/>
          <w:bCs/>
          <w:sz w:val="24"/>
          <w:szCs w:val="24"/>
        </w:rPr>
        <w:t>非标准化。</w:t>
      </w:r>
      <w:r>
        <w:rPr>
          <w:rFonts w:ascii="宋体" w:hAnsi="宋体" w:eastAsia="宋体" w:cs="宋体"/>
          <w:sz w:val="24"/>
          <w:szCs w:val="24"/>
        </w:rPr>
        <w:t xml:space="preserve"> 数据格式、命名规则、分类体系各不相同，难以整合和互操作。</w:t>
      </w:r>
    </w:p>
    <w:p w14:paraId="6F072505">
      <w:pPr>
        <w:spacing w:after="120" w:line="360" w:lineRule="auto"/>
        <w:jc w:val="both"/>
      </w:pPr>
      <w:r>
        <w:rPr>
          <w:rFonts w:ascii="宋体" w:hAnsi="宋体" w:eastAsia="宋体" w:cs="宋体"/>
          <w:b/>
          <w:bCs/>
          <w:sz w:val="24"/>
          <w:szCs w:val="24"/>
        </w:rPr>
        <w:t>非结构化。</w:t>
      </w:r>
      <w:r>
        <w:rPr>
          <w:rFonts w:ascii="宋体" w:hAnsi="宋体" w:eastAsia="宋体" w:cs="宋体"/>
          <w:sz w:val="24"/>
          <w:szCs w:val="24"/>
        </w:rPr>
        <w:t xml:space="preserve"> 大量数据以非结构化的文档、图片、视频形式存在，缺乏机器可读的标注。</w:t>
      </w:r>
    </w:p>
    <w:p w14:paraId="7FAB4C9C">
      <w:pPr>
        <w:spacing w:after="120" w:line="360" w:lineRule="auto"/>
        <w:jc w:val="both"/>
      </w:pPr>
      <w:r>
        <w:rPr>
          <w:rFonts w:ascii="宋体" w:hAnsi="宋体" w:eastAsia="宋体" w:cs="宋体"/>
          <w:b/>
          <w:bCs/>
          <w:sz w:val="24"/>
          <w:szCs w:val="24"/>
        </w:rPr>
        <w:t>不可持续。</w:t>
      </w:r>
      <w:r>
        <w:rPr>
          <w:rFonts w:ascii="宋体" w:hAnsi="宋体" w:eastAsia="宋体" w:cs="宋体"/>
          <w:sz w:val="24"/>
          <w:szCs w:val="24"/>
        </w:rPr>
        <w:t xml:space="preserve"> 部分数据存储在个人电脑或老旧存储介质上，存在丢失风险。</w:t>
      </w:r>
    </w:p>
    <w:p w14:paraId="2C3D23A5">
      <w:pPr>
        <w:pStyle w:val="4"/>
        <w:spacing w:before="300" w:after="200"/>
      </w:pPr>
      <w:bookmarkStart w:id="192" w:name="_Toc13599"/>
      <w:r>
        <w:rPr>
          <w:rFonts w:ascii="黑体" w:hAnsi="黑体" w:eastAsia="黑体" w:cs="黑体"/>
          <w:b/>
          <w:bCs/>
          <w:color w:val="000000"/>
          <w:sz w:val="26"/>
          <w:szCs w:val="26"/>
        </w:rPr>
        <w:t>7.1.3 数据治理策略</w:t>
      </w:r>
      <w:bookmarkEnd w:id="192"/>
    </w:p>
    <w:p w14:paraId="389BA90F">
      <w:pPr>
        <w:spacing w:after="120" w:line="360" w:lineRule="auto"/>
        <w:jc w:val="both"/>
      </w:pPr>
      <w:r>
        <w:rPr>
          <w:rFonts w:ascii="宋体" w:hAnsi="宋体" w:eastAsia="宋体" w:cs="宋体"/>
          <w:sz w:val="24"/>
          <w:szCs w:val="24"/>
        </w:rPr>
        <w:t>针对上述问题，屯堡文化数据治理应采取以下策略：</w:t>
      </w:r>
    </w:p>
    <w:p w14:paraId="661D5231">
      <w:pPr>
        <w:spacing w:after="120" w:line="360" w:lineRule="auto"/>
        <w:jc w:val="both"/>
      </w:pPr>
      <w:r>
        <w:rPr>
          <w:rFonts w:ascii="宋体" w:hAnsi="宋体" w:eastAsia="宋体" w:cs="宋体"/>
          <w:b/>
          <w:bCs/>
          <w:sz w:val="24"/>
          <w:szCs w:val="24"/>
        </w:rPr>
        <w:t>建立统一标准。</w:t>
      </w:r>
      <w:r>
        <w:rPr>
          <w:rFonts w:ascii="宋体" w:hAnsi="宋体" w:eastAsia="宋体" w:cs="宋体"/>
          <w:sz w:val="24"/>
          <w:szCs w:val="24"/>
        </w:rPr>
        <w:t xml:space="preserve"> 制定屯堡文化数据的元数据标准、分类编码标准、数据交换格式标准。</w:t>
      </w:r>
    </w:p>
    <w:p w14:paraId="3BCB0AE2">
      <w:pPr>
        <w:spacing w:after="120" w:line="360" w:lineRule="auto"/>
        <w:jc w:val="both"/>
      </w:pPr>
      <w:r>
        <w:rPr>
          <w:rFonts w:ascii="宋体" w:hAnsi="宋体" w:eastAsia="宋体" w:cs="宋体"/>
          <w:b/>
          <w:bCs/>
          <w:sz w:val="24"/>
          <w:szCs w:val="24"/>
        </w:rPr>
        <w:t>建设中心平台。</w:t>
      </w:r>
      <w:r>
        <w:rPr>
          <w:rFonts w:ascii="宋体" w:hAnsi="宋体" w:eastAsia="宋体" w:cs="宋体"/>
          <w:sz w:val="24"/>
          <w:szCs w:val="24"/>
        </w:rPr>
        <w:t xml:space="preserve"> 依托"贵州安顺屯堡文化国家文物保护利用示范区"建设，建立统一的屯堡文化大数据平台。</w:t>
      </w:r>
    </w:p>
    <w:p w14:paraId="08BAB8C4">
      <w:pPr>
        <w:spacing w:after="120" w:line="360" w:lineRule="auto"/>
        <w:jc w:val="both"/>
      </w:pPr>
      <w:r>
        <w:rPr>
          <w:rFonts w:ascii="宋体" w:hAnsi="宋体" w:eastAsia="宋体" w:cs="宋体"/>
          <w:b/>
          <w:bCs/>
          <w:sz w:val="24"/>
          <w:szCs w:val="24"/>
        </w:rPr>
        <w:t>推动数据共享。</w:t>
      </w:r>
      <w:r>
        <w:rPr>
          <w:rFonts w:ascii="宋体" w:hAnsi="宋体" w:eastAsia="宋体" w:cs="宋体"/>
          <w:sz w:val="24"/>
          <w:szCs w:val="24"/>
        </w:rPr>
        <w:t xml:space="preserve"> 制定数据共享管理办法，明确各方权利义务，推动跨部门、跨机构的数据整合。</w:t>
      </w:r>
    </w:p>
    <w:p w14:paraId="1160F1DC">
      <w:pPr>
        <w:spacing w:after="120" w:line="360" w:lineRule="auto"/>
        <w:jc w:val="both"/>
      </w:pPr>
      <w:r>
        <w:rPr>
          <w:rFonts w:ascii="宋体" w:hAnsi="宋体" w:eastAsia="宋体" w:cs="宋体"/>
          <w:b/>
          <w:bCs/>
          <w:sz w:val="24"/>
          <w:szCs w:val="24"/>
        </w:rPr>
        <w:t>保障数据安全。</w:t>
      </w:r>
      <w:r>
        <w:rPr>
          <w:rFonts w:ascii="宋体" w:hAnsi="宋体" w:eastAsia="宋体" w:cs="宋体"/>
          <w:sz w:val="24"/>
          <w:szCs w:val="24"/>
        </w:rPr>
        <w:t xml:space="preserve"> 建立数据备份和容灾机制，确保数据长期安全保存。</w:t>
      </w:r>
    </w:p>
    <w:p w14:paraId="34F1822D">
      <w:pPr>
        <w:pStyle w:val="3"/>
        <w:spacing w:before="300" w:after="200"/>
      </w:pPr>
      <w:bookmarkStart w:id="193" w:name="_Toc755"/>
      <w:r>
        <w:rPr>
          <w:rFonts w:ascii="黑体" w:hAnsi="黑体" w:eastAsia="黑体" w:cs="黑体"/>
          <w:b/>
          <w:bCs/>
          <w:color w:val="000000"/>
          <w:sz w:val="28"/>
          <w:szCs w:val="28"/>
        </w:rPr>
        <w:t>7.2 屯堡文化元数据标准</w:t>
      </w:r>
      <w:bookmarkEnd w:id="193"/>
    </w:p>
    <w:p w14:paraId="0A7DEA46">
      <w:pPr>
        <w:pStyle w:val="4"/>
        <w:spacing w:before="300" w:after="200"/>
      </w:pPr>
      <w:bookmarkStart w:id="194" w:name="_Toc15678"/>
      <w:r>
        <w:rPr>
          <w:rFonts w:ascii="黑体" w:hAnsi="黑体" w:eastAsia="黑体" w:cs="黑体"/>
          <w:b/>
          <w:bCs/>
          <w:color w:val="000000"/>
          <w:sz w:val="26"/>
          <w:szCs w:val="26"/>
        </w:rPr>
        <w:t>7.2.1 元数据的概念与作用</w:t>
      </w:r>
      <w:bookmarkEnd w:id="194"/>
    </w:p>
    <w:p w14:paraId="0C5F0819">
      <w:pPr>
        <w:spacing w:after="120" w:line="360" w:lineRule="auto"/>
        <w:jc w:val="both"/>
      </w:pPr>
      <w:r>
        <w:rPr>
          <w:rFonts w:ascii="宋体" w:hAnsi="宋体" w:eastAsia="宋体" w:cs="宋体"/>
          <w:sz w:val="24"/>
          <w:szCs w:val="24"/>
        </w:rPr>
        <w:t>元数据是"关于数据的数据"，描述数据资源的基本特征（如标题、创建者、日期、格式、主题等），使数据资源能够被发现、识别、管理和利用。</w:t>
      </w:r>
    </w:p>
    <w:p w14:paraId="0A98ED0A">
      <w:pPr>
        <w:spacing w:after="120" w:line="360" w:lineRule="auto"/>
        <w:jc w:val="both"/>
      </w:pPr>
      <w:r>
        <w:rPr>
          <w:rFonts w:ascii="宋体" w:hAnsi="宋体" w:eastAsia="宋体" w:cs="宋体"/>
          <w:sz w:val="24"/>
          <w:szCs w:val="24"/>
        </w:rPr>
        <w:t>元数据在屯堡文化数据管理中发挥着关键作用：发现——用户可以通过元数据搜索和定位需要的数据资源；管理——管理员可以通过元数据跟踪数据资源的存储位置和使用状态；互操作——不同系统可以通过统一的元数据标准实现数据交换和整合；保存——元数据记录了数据资源的来源和历史，是长期保存的依据。</w:t>
      </w:r>
    </w:p>
    <w:p w14:paraId="71355B87">
      <w:pPr>
        <w:pStyle w:val="4"/>
        <w:spacing w:before="300" w:after="200"/>
      </w:pPr>
      <w:bookmarkStart w:id="195" w:name="_Toc21816"/>
      <w:r>
        <w:rPr>
          <w:rFonts w:ascii="黑体" w:hAnsi="黑体" w:eastAsia="黑体" w:cs="黑体"/>
          <w:b/>
          <w:bCs/>
          <w:color w:val="000000"/>
          <w:sz w:val="26"/>
          <w:szCs w:val="26"/>
        </w:rPr>
        <w:t>7.2.2 都柏林核心元数据标准</w:t>
      </w:r>
      <w:bookmarkEnd w:id="195"/>
    </w:p>
    <w:p w14:paraId="63C35A1B">
      <w:pPr>
        <w:spacing w:after="120" w:line="360" w:lineRule="auto"/>
        <w:jc w:val="both"/>
      </w:pPr>
      <w:r>
        <w:rPr>
          <w:rFonts w:ascii="宋体" w:hAnsi="宋体" w:eastAsia="宋体" w:cs="宋体"/>
          <w:sz w:val="24"/>
          <w:szCs w:val="24"/>
        </w:rPr>
        <w:t>都柏林核心（Dublin Core, DC）是国际上应用最广泛的元数据标准之一，定义了15个核心元素：标题、创建者、主题、描述、出版者、贡献者、日期、类型、格式、标识符、来源、语种、关联、覆盖范围、权限。</w:t>
      </w:r>
    </w:p>
    <w:p w14:paraId="5EA198C6">
      <w:pPr>
        <w:spacing w:after="120" w:line="360" w:lineRule="auto"/>
        <w:jc w:val="both"/>
      </w:pPr>
      <w:r>
        <w:rPr>
          <w:rFonts w:ascii="宋体" w:hAnsi="宋体" w:eastAsia="宋体" w:cs="宋体"/>
          <w:sz w:val="24"/>
          <w:szCs w:val="24"/>
        </w:rPr>
        <w:t>DC标准简洁灵活，适用于各类数字资源的描述。屯堡文化元数据标准可以在DC基础上扩展，增加文化遗产领域的专用元素。</w:t>
      </w:r>
    </w:p>
    <w:p w14:paraId="2F97567F">
      <w:pPr>
        <w:pStyle w:val="4"/>
        <w:spacing w:before="300" w:after="200"/>
      </w:pPr>
      <w:bookmarkStart w:id="196" w:name="_Toc25129"/>
      <w:r>
        <w:rPr>
          <w:rFonts w:ascii="黑体" w:hAnsi="黑体" w:eastAsia="黑体" w:cs="黑体"/>
          <w:b/>
          <w:bCs/>
          <w:color w:val="000000"/>
          <w:sz w:val="26"/>
          <w:szCs w:val="26"/>
        </w:rPr>
        <w:t>7.2.3 屯堡文化专用元数据方案</w:t>
      </w:r>
      <w:bookmarkEnd w:id="196"/>
    </w:p>
    <w:p w14:paraId="40096B0C">
      <w:pPr>
        <w:spacing w:after="120" w:line="360" w:lineRule="auto"/>
        <w:jc w:val="both"/>
      </w:pPr>
      <w:r>
        <w:rPr>
          <w:rFonts w:ascii="宋体" w:hAnsi="宋体" w:eastAsia="宋体" w:cs="宋体"/>
          <w:sz w:val="24"/>
          <w:szCs w:val="24"/>
        </w:rPr>
        <w:t>在DC标准基础上，建议为屯堡文化数据增加以下专用元数据元素：</w:t>
      </w:r>
    </w:p>
    <w:p w14:paraId="268EC969">
      <w:pPr>
        <w:spacing w:after="120" w:line="360" w:lineRule="auto"/>
        <w:jc w:val="both"/>
      </w:pPr>
      <w:r>
        <w:rPr>
          <w:rFonts w:ascii="宋体" w:hAnsi="宋体" w:eastAsia="宋体" w:cs="宋体"/>
          <w:b/>
          <w:bCs/>
          <w:sz w:val="24"/>
          <w:szCs w:val="24"/>
        </w:rPr>
        <w:t>文化分类。</w:t>
      </w:r>
      <w:r>
        <w:rPr>
          <w:rFonts w:ascii="宋体" w:hAnsi="宋体" w:eastAsia="宋体" w:cs="宋体"/>
          <w:sz w:val="24"/>
          <w:szCs w:val="24"/>
        </w:rPr>
        <w:t xml:space="preserve"> 物质文化遗产/非物质文化遗产/文献遗产。</w:t>
      </w:r>
    </w:p>
    <w:p w14:paraId="066E8157">
      <w:pPr>
        <w:spacing w:after="120" w:line="360" w:lineRule="auto"/>
        <w:jc w:val="both"/>
      </w:pPr>
      <w:r>
        <w:rPr>
          <w:rFonts w:ascii="宋体" w:hAnsi="宋体" w:eastAsia="宋体" w:cs="宋体"/>
          <w:b/>
          <w:bCs/>
          <w:sz w:val="24"/>
          <w:szCs w:val="24"/>
        </w:rPr>
        <w:t>具体类型。</w:t>
      </w:r>
      <w:r>
        <w:rPr>
          <w:rFonts w:ascii="宋体" w:hAnsi="宋体" w:eastAsia="宋体" w:cs="宋体"/>
          <w:sz w:val="24"/>
          <w:szCs w:val="24"/>
        </w:rPr>
        <w:t xml:space="preserve"> 建筑/遗址/器物/表演艺术/传统技艺/民俗/文献等。</w:t>
      </w:r>
    </w:p>
    <w:p w14:paraId="78F79925">
      <w:pPr>
        <w:spacing w:after="120" w:line="360" w:lineRule="auto"/>
        <w:jc w:val="both"/>
      </w:pPr>
      <w:r>
        <w:rPr>
          <w:rFonts w:ascii="宋体" w:hAnsi="宋体" w:eastAsia="宋体" w:cs="宋体"/>
          <w:b/>
          <w:bCs/>
          <w:sz w:val="24"/>
          <w:szCs w:val="24"/>
        </w:rPr>
        <w:t>所属村寨。</w:t>
      </w:r>
      <w:r>
        <w:rPr>
          <w:rFonts w:ascii="宋体" w:hAnsi="宋体" w:eastAsia="宋体" w:cs="宋体"/>
          <w:sz w:val="24"/>
          <w:szCs w:val="24"/>
        </w:rPr>
        <w:t xml:space="preserve"> 天龙/本寨/云山屯/鲍家屯/旧州等。</w:t>
      </w:r>
    </w:p>
    <w:p w14:paraId="2B2C8E72">
      <w:pPr>
        <w:spacing w:after="120" w:line="360" w:lineRule="auto"/>
        <w:jc w:val="both"/>
      </w:pPr>
      <w:r>
        <w:rPr>
          <w:rFonts w:ascii="宋体" w:hAnsi="宋体" w:eastAsia="宋体" w:cs="宋体"/>
          <w:b/>
          <w:bCs/>
          <w:sz w:val="24"/>
          <w:szCs w:val="24"/>
        </w:rPr>
        <w:t>保护级别。</w:t>
      </w:r>
      <w:r>
        <w:rPr>
          <w:rFonts w:ascii="宋体" w:hAnsi="宋体" w:eastAsia="宋体" w:cs="宋体"/>
          <w:sz w:val="24"/>
          <w:szCs w:val="24"/>
        </w:rPr>
        <w:t xml:space="preserve"> 国家级/省级/市级/县级/未定级。</w:t>
      </w:r>
    </w:p>
    <w:p w14:paraId="039777E4">
      <w:pPr>
        <w:spacing w:after="120" w:line="360" w:lineRule="auto"/>
        <w:jc w:val="both"/>
      </w:pPr>
      <w:r>
        <w:rPr>
          <w:rFonts w:ascii="宋体" w:hAnsi="宋体" w:eastAsia="宋体" w:cs="宋体"/>
          <w:b/>
          <w:bCs/>
          <w:sz w:val="24"/>
          <w:szCs w:val="24"/>
        </w:rPr>
        <w:t>传承人。</w:t>
      </w:r>
      <w:r>
        <w:rPr>
          <w:rFonts w:ascii="宋体" w:hAnsi="宋体" w:eastAsia="宋体" w:cs="宋体"/>
          <w:sz w:val="24"/>
          <w:szCs w:val="24"/>
        </w:rPr>
        <w:t xml:space="preserve"> 相关非遗项目的传承人姓名和编号。</w:t>
      </w:r>
    </w:p>
    <w:p w14:paraId="10B90123">
      <w:pPr>
        <w:spacing w:after="120" w:line="360" w:lineRule="auto"/>
        <w:jc w:val="both"/>
      </w:pPr>
      <w:r>
        <w:rPr>
          <w:rFonts w:ascii="宋体" w:hAnsi="宋体" w:eastAsia="宋体" w:cs="宋体"/>
          <w:b/>
          <w:bCs/>
          <w:sz w:val="24"/>
          <w:szCs w:val="24"/>
        </w:rPr>
        <w:t>数字化方式。</w:t>
      </w:r>
      <w:r>
        <w:rPr>
          <w:rFonts w:ascii="宋体" w:hAnsi="宋体" w:eastAsia="宋体" w:cs="宋体"/>
          <w:sz w:val="24"/>
          <w:szCs w:val="24"/>
        </w:rPr>
        <w:t xml:space="preserve"> 激光扫描/摄影测量/视频记录/音频记录等。</w:t>
      </w:r>
    </w:p>
    <w:p w14:paraId="2AF76734">
      <w:pPr>
        <w:spacing w:after="120" w:line="360" w:lineRule="auto"/>
        <w:jc w:val="both"/>
      </w:pPr>
      <w:r>
        <w:rPr>
          <w:rFonts w:ascii="宋体" w:hAnsi="宋体" w:eastAsia="宋体" w:cs="宋体"/>
          <w:b/>
          <w:bCs/>
          <w:sz w:val="24"/>
          <w:szCs w:val="24"/>
        </w:rPr>
        <w:t>数字化日期。</w:t>
      </w:r>
      <w:r>
        <w:rPr>
          <w:rFonts w:ascii="宋体" w:hAnsi="宋体" w:eastAsia="宋体" w:cs="宋体"/>
          <w:sz w:val="24"/>
          <w:szCs w:val="24"/>
        </w:rPr>
        <w:t xml:space="preserve"> 数据采集的日期。</w:t>
      </w:r>
    </w:p>
    <w:p w14:paraId="15FD774F">
      <w:pPr>
        <w:spacing w:after="120" w:line="360" w:lineRule="auto"/>
        <w:jc w:val="both"/>
      </w:pPr>
      <w:r>
        <w:rPr>
          <w:rFonts w:ascii="宋体" w:hAnsi="宋体" w:eastAsia="宋体" w:cs="宋体"/>
          <w:b/>
          <w:bCs/>
          <w:sz w:val="24"/>
          <w:szCs w:val="24"/>
        </w:rPr>
        <w:t>数据精度。</w:t>
      </w:r>
      <w:r>
        <w:rPr>
          <w:rFonts w:ascii="宋体" w:hAnsi="宋体" w:eastAsia="宋体" w:cs="宋体"/>
          <w:sz w:val="24"/>
          <w:szCs w:val="24"/>
        </w:rPr>
        <w:t xml:space="preserve"> 三维数据的空间分辨率或影像数据的像素分辨率。</w:t>
      </w:r>
    </w:p>
    <w:p w14:paraId="4D181D97">
      <w:pPr>
        <w:spacing w:after="120" w:line="360" w:lineRule="auto"/>
        <w:jc w:val="both"/>
      </w:pPr>
      <w:r>
        <w:rPr>
          <w:rFonts w:ascii="宋体" w:hAnsi="宋体" w:eastAsia="宋体" w:cs="宋体"/>
          <w:b/>
          <w:bCs/>
          <w:sz w:val="24"/>
          <w:szCs w:val="24"/>
        </w:rPr>
        <w:t>访问权限。</w:t>
      </w:r>
      <w:r>
        <w:rPr>
          <w:rFonts w:ascii="宋体" w:hAnsi="宋体" w:eastAsia="宋体" w:cs="宋体"/>
          <w:sz w:val="24"/>
          <w:szCs w:val="24"/>
        </w:rPr>
        <w:t xml:space="preserve"> 公开/受限/保密。</w:t>
      </w:r>
    </w:p>
    <w:p w14:paraId="13E554F4">
      <w:pPr>
        <w:pStyle w:val="3"/>
        <w:spacing w:before="300" w:after="200"/>
      </w:pPr>
      <w:bookmarkStart w:id="197" w:name="_Toc110"/>
      <w:r>
        <w:rPr>
          <w:rFonts w:ascii="黑体" w:hAnsi="黑体" w:eastAsia="黑体" w:cs="黑体"/>
          <w:b/>
          <w:bCs/>
          <w:color w:val="000000"/>
          <w:sz w:val="28"/>
          <w:szCs w:val="28"/>
        </w:rPr>
        <w:t>7.3 知识图谱技术基础</w:t>
      </w:r>
      <w:bookmarkEnd w:id="197"/>
    </w:p>
    <w:p w14:paraId="36D17F61">
      <w:pPr>
        <w:pStyle w:val="4"/>
        <w:spacing w:before="300" w:after="200"/>
      </w:pPr>
      <w:bookmarkStart w:id="198" w:name="_Toc19269"/>
      <w:r>
        <w:rPr>
          <w:rFonts w:ascii="黑体" w:hAnsi="黑体" w:eastAsia="黑体" w:cs="黑体"/>
          <w:b/>
          <w:bCs/>
          <w:color w:val="000000"/>
          <w:sz w:val="26"/>
          <w:szCs w:val="26"/>
        </w:rPr>
        <w:t>7.3.1 知识图谱的概念</w:t>
      </w:r>
      <w:bookmarkEnd w:id="198"/>
    </w:p>
    <w:p w14:paraId="46F7BD19">
      <w:pPr>
        <w:spacing w:after="120" w:line="360" w:lineRule="auto"/>
        <w:jc w:val="both"/>
      </w:pPr>
      <w:r>
        <w:rPr>
          <w:rFonts w:ascii="宋体" w:hAnsi="宋体" w:eastAsia="宋体" w:cs="宋体"/>
          <w:sz w:val="24"/>
          <w:szCs w:val="24"/>
        </w:rPr>
        <w:t>知识图谱是一种用图结构（节点和边）来表示知识的技术。节点代表实体（人、地点、事物、概念），边代表实体之间的关系。知识图谱将分散的、异构的知识组织成一个语义网络，支持智能查询、推理和发现。</w:t>
      </w:r>
    </w:p>
    <w:p w14:paraId="56B71F16">
      <w:pPr>
        <w:spacing w:after="120" w:line="360" w:lineRule="auto"/>
        <w:jc w:val="both"/>
      </w:pPr>
      <w:r>
        <w:rPr>
          <w:rFonts w:ascii="宋体" w:hAnsi="宋体" w:eastAsia="宋体" w:cs="宋体"/>
          <w:sz w:val="24"/>
          <w:szCs w:val="24"/>
        </w:rPr>
        <w:t>知识图谱与传统数据库的关键区别在于：传统数据库存储的是"记录"，知识图谱存储的是"关系"；传统数据库的查询基于关键词匹配，知识图谱的查询基于语义推理。</w:t>
      </w:r>
    </w:p>
    <w:p w14:paraId="7F2C5B61">
      <w:pPr>
        <w:pStyle w:val="4"/>
        <w:spacing w:before="300" w:after="200"/>
      </w:pPr>
      <w:bookmarkStart w:id="199" w:name="_Toc23293"/>
      <w:r>
        <w:rPr>
          <w:rFonts w:ascii="黑体" w:hAnsi="黑体" w:eastAsia="黑体" w:cs="黑体"/>
          <w:b/>
          <w:bCs/>
          <w:color w:val="000000"/>
          <w:sz w:val="26"/>
          <w:szCs w:val="26"/>
        </w:rPr>
        <w:t>7.3.2 知识图谱的核心技术</w:t>
      </w:r>
      <w:bookmarkEnd w:id="199"/>
    </w:p>
    <w:p w14:paraId="42746A16">
      <w:pPr>
        <w:spacing w:after="120" w:line="360" w:lineRule="auto"/>
        <w:jc w:val="both"/>
      </w:pPr>
      <w:r>
        <w:rPr>
          <w:rFonts w:ascii="宋体" w:hAnsi="宋体" w:eastAsia="宋体" w:cs="宋体"/>
          <w:b/>
          <w:bCs/>
          <w:sz w:val="24"/>
          <w:szCs w:val="24"/>
        </w:rPr>
        <w:t>知识表示。</w:t>
      </w:r>
      <w:r>
        <w:rPr>
          <w:rFonts w:ascii="宋体" w:hAnsi="宋体" w:eastAsia="宋体" w:cs="宋体"/>
          <w:sz w:val="24"/>
          <w:szCs w:val="24"/>
        </w:rPr>
        <w:t xml:space="preserve"> 使用RDF（资源描述框架）三元组（主语-谓语-宾语）或属性图模型来表示知识。例如："地戏（主语）属于（谓语）非物质文化遗产（宾语）"就是一个RDF三元组。</w:t>
      </w:r>
    </w:p>
    <w:p w14:paraId="16764B2E">
      <w:pPr>
        <w:spacing w:after="120" w:line="360" w:lineRule="auto"/>
        <w:jc w:val="both"/>
      </w:pPr>
      <w:r>
        <w:rPr>
          <w:rFonts w:ascii="宋体" w:hAnsi="宋体" w:eastAsia="宋体" w:cs="宋体"/>
          <w:b/>
          <w:bCs/>
          <w:sz w:val="24"/>
          <w:szCs w:val="24"/>
        </w:rPr>
        <w:t>知识抽取。</w:t>
      </w:r>
      <w:r>
        <w:rPr>
          <w:rFonts w:ascii="宋体" w:hAnsi="宋体" w:eastAsia="宋体" w:cs="宋体"/>
          <w:sz w:val="24"/>
          <w:szCs w:val="24"/>
        </w:rPr>
        <w:t xml:space="preserve"> 从非结构化文本（学术论文、调查报告等）中自动抽取实体和关系。主要技术包括命名实体识别（NER）、关系抽取（RE）、事件抽取等。深度学习方法（BERT、GPT等预训练模型）在知识抽取中表现优异。</w:t>
      </w:r>
    </w:p>
    <w:p w14:paraId="0412578C">
      <w:pPr>
        <w:spacing w:after="120" w:line="360" w:lineRule="auto"/>
        <w:jc w:val="both"/>
      </w:pPr>
      <w:r>
        <w:rPr>
          <w:rFonts w:ascii="宋体" w:hAnsi="宋体" w:eastAsia="宋体" w:cs="宋体"/>
          <w:b/>
          <w:bCs/>
          <w:sz w:val="24"/>
          <w:szCs w:val="24"/>
        </w:rPr>
        <w:t>知识融合。</w:t>
      </w:r>
      <w:r>
        <w:rPr>
          <w:rFonts w:ascii="宋体" w:hAnsi="宋体" w:eastAsia="宋体" w:cs="宋体"/>
          <w:sz w:val="24"/>
          <w:szCs w:val="24"/>
        </w:rPr>
        <w:t xml:space="preserve"> 将来自不同来源的关于同一实体的信息进行整合，消除冗余和冲突。关键技术包括实体对齐（判断两个名称是否指代同一实体）和冲突消解（处理不同来源的矛盾信息）。</w:t>
      </w:r>
    </w:p>
    <w:p w14:paraId="57C96883">
      <w:pPr>
        <w:spacing w:after="120" w:line="360" w:lineRule="auto"/>
        <w:jc w:val="both"/>
      </w:pPr>
      <w:r>
        <w:rPr>
          <w:rFonts w:ascii="宋体" w:hAnsi="宋体" w:eastAsia="宋体" w:cs="宋体"/>
          <w:b/>
          <w:bCs/>
          <w:sz w:val="24"/>
          <w:szCs w:val="24"/>
        </w:rPr>
        <w:t>知识存储。</w:t>
      </w:r>
      <w:r>
        <w:rPr>
          <w:rFonts w:ascii="宋体" w:hAnsi="宋体" w:eastAsia="宋体" w:cs="宋体"/>
          <w:sz w:val="24"/>
          <w:szCs w:val="24"/>
        </w:rPr>
        <w:t xml:space="preserve"> 使用图数据库（如Neo4j、JanusGraph）或RDF三元组存储（如Apache Jena、Virtuoso）来存储知识图谱数据。</w:t>
      </w:r>
    </w:p>
    <w:p w14:paraId="31AD5C6D">
      <w:pPr>
        <w:spacing w:after="120" w:line="360" w:lineRule="auto"/>
        <w:jc w:val="both"/>
      </w:pPr>
      <w:r>
        <w:rPr>
          <w:rFonts w:ascii="宋体" w:hAnsi="宋体" w:eastAsia="宋体" w:cs="宋体"/>
          <w:b/>
          <w:bCs/>
          <w:sz w:val="24"/>
          <w:szCs w:val="24"/>
        </w:rPr>
        <w:t>知识推理。</w:t>
      </w:r>
      <w:r>
        <w:rPr>
          <w:rFonts w:ascii="宋体" w:hAnsi="宋体" w:eastAsia="宋体" w:cs="宋体"/>
          <w:sz w:val="24"/>
          <w:szCs w:val="24"/>
        </w:rPr>
        <w:t xml:space="preserve"> 基于已有的知识推导出新知识。例如，已知"地戏属于非物质文化遗产"和"非物质文化遗产需要保护"，可以推理出"地戏需要保护"。</w:t>
      </w:r>
    </w:p>
    <w:p w14:paraId="2D4DD857">
      <w:pPr>
        <w:pStyle w:val="4"/>
        <w:spacing w:before="300" w:after="200"/>
      </w:pPr>
      <w:bookmarkStart w:id="200" w:name="_Toc10582"/>
      <w:r>
        <w:rPr>
          <w:rFonts w:ascii="黑体" w:hAnsi="黑体" w:eastAsia="黑体" w:cs="黑体"/>
          <w:b/>
          <w:bCs/>
          <w:color w:val="000000"/>
          <w:sz w:val="26"/>
          <w:szCs w:val="26"/>
        </w:rPr>
        <w:t>7.3.3 知识图谱构建流程</w:t>
      </w:r>
      <w:bookmarkEnd w:id="200"/>
    </w:p>
    <w:p w14:paraId="52772900">
      <w:pPr>
        <w:spacing w:after="120" w:line="360" w:lineRule="auto"/>
        <w:jc w:val="both"/>
      </w:pPr>
      <w:r>
        <w:rPr>
          <w:rFonts w:ascii="宋体" w:hAnsi="宋体" w:eastAsia="宋体" w:cs="宋体"/>
          <w:sz w:val="24"/>
          <w:szCs w:val="24"/>
        </w:rPr>
        <w:t>知识图谱的构建通常包括以下步骤：</w:t>
      </w:r>
    </w:p>
    <w:p w14:paraId="6D159E38">
      <w:pPr>
        <w:spacing w:after="120" w:line="360" w:lineRule="auto"/>
        <w:jc w:val="both"/>
      </w:pPr>
      <w:r>
        <w:rPr>
          <w:rFonts w:ascii="宋体" w:hAnsi="宋体" w:eastAsia="宋体" w:cs="宋体"/>
          <w:b/>
          <w:bCs/>
          <w:sz w:val="24"/>
          <w:szCs w:val="24"/>
        </w:rPr>
        <w:t>需求分析。</w:t>
      </w:r>
      <w:r>
        <w:rPr>
          <w:rFonts w:ascii="宋体" w:hAnsi="宋体" w:eastAsia="宋体" w:cs="宋体"/>
          <w:sz w:val="24"/>
          <w:szCs w:val="24"/>
        </w:rPr>
        <w:t xml:space="preserve"> 明确知识图谱的应用场景和覆盖范围。</w:t>
      </w:r>
    </w:p>
    <w:p w14:paraId="39D09C5E">
      <w:pPr>
        <w:spacing w:after="120" w:line="360" w:lineRule="auto"/>
        <w:jc w:val="both"/>
      </w:pPr>
      <w:r>
        <w:rPr>
          <w:rFonts w:ascii="宋体" w:hAnsi="宋体" w:eastAsia="宋体" w:cs="宋体"/>
          <w:b/>
          <w:bCs/>
          <w:sz w:val="24"/>
          <w:szCs w:val="24"/>
        </w:rPr>
        <w:t>本体设计。</w:t>
      </w:r>
      <w:r>
        <w:rPr>
          <w:rFonts w:ascii="宋体" w:hAnsi="宋体" w:eastAsia="宋体" w:cs="宋体"/>
          <w:sz w:val="24"/>
          <w:szCs w:val="24"/>
        </w:rPr>
        <w:t xml:space="preserve"> 定义知识图谱中的实体类型、关系类型和属性类型，形成本体模型。</w:t>
      </w:r>
    </w:p>
    <w:p w14:paraId="081C8ED5">
      <w:pPr>
        <w:spacing w:after="120" w:line="360" w:lineRule="auto"/>
        <w:jc w:val="both"/>
      </w:pPr>
      <w:r>
        <w:rPr>
          <w:rFonts w:ascii="宋体" w:hAnsi="宋体" w:eastAsia="宋体" w:cs="宋体"/>
          <w:b/>
          <w:bCs/>
          <w:sz w:val="24"/>
          <w:szCs w:val="24"/>
        </w:rPr>
        <w:t>数据采集。</w:t>
      </w:r>
      <w:r>
        <w:rPr>
          <w:rFonts w:ascii="宋体" w:hAnsi="宋体" w:eastAsia="宋体" w:cs="宋体"/>
          <w:sz w:val="24"/>
          <w:szCs w:val="24"/>
        </w:rPr>
        <w:t xml:space="preserve"> 从各种来源收集相关数据。</w:t>
      </w:r>
    </w:p>
    <w:p w14:paraId="21EB41D9">
      <w:pPr>
        <w:spacing w:after="120" w:line="360" w:lineRule="auto"/>
        <w:jc w:val="both"/>
      </w:pPr>
      <w:r>
        <w:rPr>
          <w:rFonts w:ascii="宋体" w:hAnsi="宋体" w:eastAsia="宋体" w:cs="宋体"/>
          <w:b/>
          <w:bCs/>
          <w:sz w:val="24"/>
          <w:szCs w:val="24"/>
        </w:rPr>
        <w:t>知识抽取。</w:t>
      </w:r>
      <w:r>
        <w:rPr>
          <w:rFonts w:ascii="宋体" w:hAnsi="宋体" w:eastAsia="宋体" w:cs="宋体"/>
          <w:sz w:val="24"/>
          <w:szCs w:val="24"/>
        </w:rPr>
        <w:t xml:space="preserve"> 从数据中抽取实体、关系和属性。</w:t>
      </w:r>
    </w:p>
    <w:p w14:paraId="254F3E79">
      <w:pPr>
        <w:spacing w:after="120" w:line="360" w:lineRule="auto"/>
        <w:jc w:val="both"/>
      </w:pPr>
      <w:r>
        <w:rPr>
          <w:rFonts w:ascii="宋体" w:hAnsi="宋体" w:eastAsia="宋体" w:cs="宋体"/>
          <w:b/>
          <w:bCs/>
          <w:sz w:val="24"/>
          <w:szCs w:val="24"/>
        </w:rPr>
        <w:t>知识融合。</w:t>
      </w:r>
      <w:r>
        <w:rPr>
          <w:rFonts w:ascii="宋体" w:hAnsi="宋体" w:eastAsia="宋体" w:cs="宋体"/>
          <w:sz w:val="24"/>
          <w:szCs w:val="24"/>
        </w:rPr>
        <w:t xml:space="preserve"> 整合多源知识，消除冗余和冲突。</w:t>
      </w:r>
    </w:p>
    <w:p w14:paraId="0D793647">
      <w:pPr>
        <w:spacing w:after="120" w:line="360" w:lineRule="auto"/>
        <w:jc w:val="both"/>
      </w:pPr>
      <w:r>
        <w:rPr>
          <w:rFonts w:ascii="宋体" w:hAnsi="宋体" w:eastAsia="宋体" w:cs="宋体"/>
          <w:b/>
          <w:bCs/>
          <w:sz w:val="24"/>
          <w:szCs w:val="24"/>
        </w:rPr>
        <w:t>质量评估。</w:t>
      </w:r>
      <w:r>
        <w:rPr>
          <w:rFonts w:ascii="宋体" w:hAnsi="宋体" w:eastAsia="宋体" w:cs="宋体"/>
          <w:sz w:val="24"/>
          <w:szCs w:val="24"/>
        </w:rPr>
        <w:t xml:space="preserve"> 评估知识图谱的完整性、准确性和一致性。</w:t>
      </w:r>
    </w:p>
    <w:p w14:paraId="7ACA3822">
      <w:pPr>
        <w:spacing w:after="120" w:line="360" w:lineRule="auto"/>
        <w:jc w:val="both"/>
      </w:pPr>
      <w:r>
        <w:rPr>
          <w:rFonts w:ascii="宋体" w:hAnsi="宋体" w:eastAsia="宋体" w:cs="宋体"/>
          <w:b/>
          <w:bCs/>
          <w:sz w:val="24"/>
          <w:szCs w:val="24"/>
        </w:rPr>
        <w:t>发布与维护。</w:t>
      </w:r>
      <w:r>
        <w:rPr>
          <w:rFonts w:ascii="宋体" w:hAnsi="宋体" w:eastAsia="宋体" w:cs="宋体"/>
          <w:sz w:val="24"/>
          <w:szCs w:val="24"/>
        </w:rPr>
        <w:t xml:space="preserve"> 将知识图谱部署到生产环境，持续更新和维护。</w:t>
      </w:r>
    </w:p>
    <w:p w14:paraId="561EF685">
      <w:pPr>
        <w:pStyle w:val="3"/>
        <w:spacing w:before="300" w:after="200"/>
      </w:pPr>
      <w:bookmarkStart w:id="201" w:name="_Toc32118"/>
      <w:r>
        <w:rPr>
          <w:rFonts w:ascii="黑体" w:hAnsi="黑体" w:eastAsia="黑体" w:cs="黑体"/>
          <w:b/>
          <w:bCs/>
          <w:color w:val="000000"/>
          <w:sz w:val="28"/>
          <w:szCs w:val="28"/>
        </w:rPr>
        <w:t>7.4 屯堡文化知识图谱设计</w:t>
      </w:r>
      <w:bookmarkEnd w:id="201"/>
    </w:p>
    <w:p w14:paraId="792B2DF5">
      <w:pPr>
        <w:pStyle w:val="4"/>
        <w:spacing w:before="300" w:after="200"/>
      </w:pPr>
      <w:bookmarkStart w:id="202" w:name="_Toc1264"/>
      <w:r>
        <w:rPr>
          <w:rFonts w:ascii="黑体" w:hAnsi="黑体" w:eastAsia="黑体" w:cs="黑体"/>
          <w:b/>
          <w:bCs/>
          <w:color w:val="000000"/>
          <w:sz w:val="26"/>
          <w:szCs w:val="26"/>
        </w:rPr>
        <w:t>7.4.1 本体模型设计</w:t>
      </w:r>
      <w:bookmarkEnd w:id="202"/>
    </w:p>
    <w:p w14:paraId="60582253">
      <w:pPr>
        <w:spacing w:after="120" w:line="360" w:lineRule="auto"/>
        <w:jc w:val="both"/>
      </w:pPr>
      <w:r>
        <w:rPr>
          <w:rFonts w:ascii="宋体" w:hAnsi="宋体" w:eastAsia="宋体" w:cs="宋体"/>
          <w:sz w:val="24"/>
          <w:szCs w:val="24"/>
        </w:rPr>
        <w:t>屯堡文化知识图谱的本体模型应涵盖以下核心实体类型：</w:t>
      </w:r>
    </w:p>
    <w:p w14:paraId="08C685B4">
      <w:pPr>
        <w:spacing w:after="120" w:line="360" w:lineRule="auto"/>
        <w:jc w:val="both"/>
      </w:pPr>
      <w:r>
        <w:rPr>
          <w:rFonts w:ascii="宋体" w:hAnsi="宋体" w:eastAsia="宋体" w:cs="宋体"/>
          <w:b/>
          <w:bCs/>
          <w:sz w:val="24"/>
          <w:szCs w:val="24"/>
        </w:rPr>
        <w:t>人物实体。</w:t>
      </w:r>
      <w:r>
        <w:rPr>
          <w:rFonts w:ascii="宋体" w:hAnsi="宋体" w:eastAsia="宋体" w:cs="宋体"/>
          <w:sz w:val="24"/>
          <w:szCs w:val="24"/>
        </w:rPr>
        <w:t xml:space="preserve"> 历史人物（傅友德、沐英、沈万三等）、传承人（地戏传承人、雕刻传承人、服饰制作传承人等）、研究者、管理者。</w:t>
      </w:r>
    </w:p>
    <w:p w14:paraId="41699800">
      <w:pPr>
        <w:spacing w:after="120" w:line="360" w:lineRule="auto"/>
        <w:jc w:val="both"/>
      </w:pPr>
      <w:r>
        <w:rPr>
          <w:rFonts w:ascii="宋体" w:hAnsi="宋体" w:eastAsia="宋体" w:cs="宋体"/>
          <w:b/>
          <w:bCs/>
          <w:sz w:val="24"/>
          <w:szCs w:val="24"/>
        </w:rPr>
        <w:t>地点实体。</w:t>
      </w:r>
      <w:r>
        <w:rPr>
          <w:rFonts w:ascii="宋体" w:hAnsi="宋体" w:eastAsia="宋体" w:cs="宋体"/>
          <w:sz w:val="24"/>
          <w:szCs w:val="24"/>
        </w:rPr>
        <w:t xml:space="preserve"> 屯堡村寨、具体建筑、庙宇、演武场、水利设施等。</w:t>
      </w:r>
    </w:p>
    <w:p w14:paraId="33E6EFF0">
      <w:pPr>
        <w:spacing w:after="120" w:line="360" w:lineRule="auto"/>
        <w:jc w:val="both"/>
      </w:pPr>
      <w:r>
        <w:rPr>
          <w:rFonts w:ascii="宋体" w:hAnsi="宋体" w:eastAsia="宋体" w:cs="宋体"/>
          <w:b/>
          <w:bCs/>
          <w:sz w:val="24"/>
          <w:szCs w:val="24"/>
        </w:rPr>
        <w:t>组织实体。</w:t>
      </w:r>
      <w:r>
        <w:rPr>
          <w:rFonts w:ascii="宋体" w:hAnsi="宋体" w:eastAsia="宋体" w:cs="宋体"/>
          <w:sz w:val="24"/>
          <w:szCs w:val="24"/>
        </w:rPr>
        <w:t xml:space="preserve"> 卫所、家族、研究机构、保护管理机构、文创企业等。</w:t>
      </w:r>
    </w:p>
    <w:p w14:paraId="3CDF92AA">
      <w:pPr>
        <w:spacing w:after="120" w:line="360" w:lineRule="auto"/>
        <w:jc w:val="both"/>
      </w:pPr>
      <w:r>
        <w:rPr>
          <w:rFonts w:ascii="宋体" w:hAnsi="宋体" w:eastAsia="宋体" w:cs="宋体"/>
          <w:b/>
          <w:bCs/>
          <w:sz w:val="24"/>
          <w:szCs w:val="24"/>
        </w:rPr>
        <w:t>文化项目实体。</w:t>
      </w:r>
      <w:r>
        <w:rPr>
          <w:rFonts w:ascii="宋体" w:hAnsi="宋体" w:eastAsia="宋体" w:cs="宋体"/>
          <w:sz w:val="24"/>
          <w:szCs w:val="24"/>
        </w:rPr>
        <w:t xml:space="preserve"> 非遗项目（地戏、服饰制作、面具雕刻等）、民俗活动（"抬汪公"、跳花灯等）。</w:t>
      </w:r>
    </w:p>
    <w:p w14:paraId="774E0ADE">
      <w:pPr>
        <w:spacing w:after="120" w:line="360" w:lineRule="auto"/>
        <w:jc w:val="both"/>
      </w:pPr>
      <w:r>
        <w:rPr>
          <w:rFonts w:ascii="宋体" w:hAnsi="宋体" w:eastAsia="宋体" w:cs="宋体"/>
          <w:b/>
          <w:bCs/>
          <w:sz w:val="24"/>
          <w:szCs w:val="24"/>
        </w:rPr>
        <w:t>文献实体。</w:t>
      </w:r>
      <w:r>
        <w:rPr>
          <w:rFonts w:ascii="宋体" w:hAnsi="宋体" w:eastAsia="宋体" w:cs="宋体"/>
          <w:sz w:val="24"/>
          <w:szCs w:val="24"/>
        </w:rPr>
        <w:t xml:space="preserve"> 学术论文、专著、调查报告、地方志、家谱、碑刻等。</w:t>
      </w:r>
    </w:p>
    <w:p w14:paraId="6BA4BBFD">
      <w:pPr>
        <w:spacing w:after="120" w:line="360" w:lineRule="auto"/>
        <w:jc w:val="both"/>
      </w:pPr>
      <w:r>
        <w:rPr>
          <w:rFonts w:ascii="宋体" w:hAnsi="宋体" w:eastAsia="宋体" w:cs="宋体"/>
          <w:b/>
          <w:bCs/>
          <w:sz w:val="24"/>
          <w:szCs w:val="24"/>
        </w:rPr>
        <w:t>物质实体。</w:t>
      </w:r>
      <w:r>
        <w:rPr>
          <w:rFonts w:ascii="宋体" w:hAnsi="宋体" w:eastAsia="宋体" w:cs="宋体"/>
          <w:sz w:val="24"/>
          <w:szCs w:val="24"/>
        </w:rPr>
        <w:t xml:space="preserve"> 建筑构件、地戏面具、服饰、工具、兵器道具等。</w:t>
      </w:r>
    </w:p>
    <w:p w14:paraId="2870FD32">
      <w:pPr>
        <w:spacing w:after="120" w:line="360" w:lineRule="auto"/>
        <w:jc w:val="both"/>
      </w:pPr>
      <w:r>
        <w:rPr>
          <w:rFonts w:ascii="宋体" w:hAnsi="宋体" w:eastAsia="宋体" w:cs="宋体"/>
          <w:b/>
          <w:bCs/>
          <w:sz w:val="24"/>
          <w:szCs w:val="24"/>
        </w:rPr>
        <w:t>事件实体。</w:t>
      </w:r>
      <w:r>
        <w:rPr>
          <w:rFonts w:ascii="宋体" w:hAnsi="宋体" w:eastAsia="宋体" w:cs="宋体"/>
          <w:sz w:val="24"/>
          <w:szCs w:val="24"/>
        </w:rPr>
        <w:t xml:space="preserve"> 历史事件（调北征南、设立卫所等）、民俗活动、修缮工程、学术会议等。</w:t>
      </w:r>
    </w:p>
    <w:p w14:paraId="3286082C">
      <w:pPr>
        <w:spacing w:after="120" w:line="360" w:lineRule="auto"/>
        <w:jc w:val="both"/>
      </w:pPr>
      <w:r>
        <w:rPr>
          <w:rFonts w:ascii="宋体" w:hAnsi="宋体" w:eastAsia="宋体" w:cs="宋体"/>
          <w:b/>
          <w:bCs/>
          <w:sz w:val="24"/>
          <w:szCs w:val="24"/>
        </w:rPr>
        <w:t>概念实体。</w:t>
      </w:r>
      <w:r>
        <w:rPr>
          <w:rFonts w:ascii="宋体" w:hAnsi="宋体" w:eastAsia="宋体" w:cs="宋体"/>
          <w:sz w:val="24"/>
          <w:szCs w:val="24"/>
        </w:rPr>
        <w:t xml:space="preserve"> 文化概念、工艺技法、信仰观念等。</w:t>
      </w:r>
    </w:p>
    <w:p w14:paraId="4C5BE354">
      <w:pPr>
        <w:spacing w:after="120" w:line="360" w:lineRule="auto"/>
        <w:jc w:val="both"/>
      </w:pPr>
      <w:r>
        <w:rPr>
          <w:rFonts w:ascii="宋体" w:hAnsi="宋体" w:eastAsia="宋体" w:cs="宋体"/>
          <w:sz w:val="24"/>
          <w:szCs w:val="24"/>
        </w:rPr>
        <w:t>核心关系类型包括：传承关系（师徒、父子）、空间关系（位于、包含、相邻）、时间关系（发生于、早于、晚于）、分类关系（属于、是一种）、参与关系（表演、创作、研究）、来源关系（出自、记载于）。</w:t>
      </w:r>
    </w:p>
    <w:p w14:paraId="39C3AA2E">
      <w:pPr>
        <w:pStyle w:val="4"/>
        <w:spacing w:before="300" w:after="200"/>
      </w:pPr>
      <w:bookmarkStart w:id="203" w:name="_Toc25189"/>
      <w:r>
        <w:rPr>
          <w:rFonts w:ascii="黑体" w:hAnsi="黑体" w:eastAsia="黑体" w:cs="黑体"/>
          <w:b/>
          <w:bCs/>
          <w:color w:val="000000"/>
          <w:sz w:val="26"/>
          <w:szCs w:val="26"/>
        </w:rPr>
        <w:t>7.4.2 知识抽取策略</w:t>
      </w:r>
      <w:bookmarkEnd w:id="203"/>
    </w:p>
    <w:p w14:paraId="486ED470">
      <w:pPr>
        <w:spacing w:after="120" w:line="360" w:lineRule="auto"/>
        <w:jc w:val="both"/>
      </w:pPr>
      <w:r>
        <w:rPr>
          <w:rFonts w:ascii="宋体" w:hAnsi="宋体" w:eastAsia="宋体" w:cs="宋体"/>
          <w:sz w:val="24"/>
          <w:szCs w:val="24"/>
        </w:rPr>
        <w:t>对于屯堡文化的结构化数据（如文物保护单位登记表），可直接映射为知识图谱实体。</w:t>
      </w:r>
    </w:p>
    <w:p w14:paraId="24DA00F8">
      <w:pPr>
        <w:spacing w:after="120" w:line="360" w:lineRule="auto"/>
        <w:jc w:val="both"/>
      </w:pPr>
      <w:r>
        <w:rPr>
          <w:rFonts w:ascii="宋体" w:hAnsi="宋体" w:eastAsia="宋体" w:cs="宋体"/>
          <w:sz w:val="24"/>
          <w:szCs w:val="24"/>
        </w:rPr>
        <w:t>对于半结构化数据（如地方志中的条目），需要编写解析规则进行抽取。</w:t>
      </w:r>
    </w:p>
    <w:p w14:paraId="0FC8E326">
      <w:pPr>
        <w:spacing w:after="120" w:line="360" w:lineRule="auto"/>
        <w:jc w:val="both"/>
      </w:pPr>
      <w:r>
        <w:rPr>
          <w:rFonts w:ascii="宋体" w:hAnsi="宋体" w:eastAsia="宋体" w:cs="宋体"/>
          <w:sz w:val="24"/>
          <w:szCs w:val="24"/>
        </w:rPr>
        <w:t>对于非结构化文本（如学术论文），可采用以下策略：</w:t>
      </w:r>
    </w:p>
    <w:p w14:paraId="5AD8E6D1">
      <w:pPr>
        <w:spacing w:after="120" w:line="360" w:lineRule="auto"/>
        <w:jc w:val="both"/>
      </w:pPr>
      <w:r>
        <w:rPr>
          <w:rFonts w:ascii="宋体" w:hAnsi="宋体" w:eastAsia="宋体" w:cs="宋体"/>
          <w:b/>
          <w:bCs/>
          <w:sz w:val="24"/>
          <w:szCs w:val="24"/>
        </w:rPr>
        <w:t>基于词典的抽取。</w:t>
      </w:r>
      <w:r>
        <w:rPr>
          <w:rFonts w:ascii="宋体" w:hAnsi="宋体" w:eastAsia="宋体" w:cs="宋体"/>
          <w:sz w:val="24"/>
          <w:szCs w:val="24"/>
        </w:rPr>
        <w:t xml:space="preserve"> 预先构建屯堡文化专名词典（人名、地名、非遗项目名等），在文本中进行匹配识别。</w:t>
      </w:r>
    </w:p>
    <w:p w14:paraId="2A12B7B3">
      <w:pPr>
        <w:spacing w:after="120" w:line="360" w:lineRule="auto"/>
        <w:jc w:val="both"/>
      </w:pPr>
      <w:r>
        <w:rPr>
          <w:rFonts w:ascii="宋体" w:hAnsi="宋体" w:eastAsia="宋体" w:cs="宋体"/>
          <w:b/>
          <w:bCs/>
          <w:sz w:val="24"/>
          <w:szCs w:val="24"/>
        </w:rPr>
        <w:t>基于规则的抽取。</w:t>
      </w:r>
      <w:r>
        <w:rPr>
          <w:rFonts w:ascii="宋体" w:hAnsi="宋体" w:eastAsia="宋体" w:cs="宋体"/>
          <w:sz w:val="24"/>
          <w:szCs w:val="24"/>
        </w:rPr>
        <w:t xml:space="preserve"> 编写正则表达式或语法规则，识别文本中特定模式的实体和关系。例如，识别"XXX师从YYY学习地戏"这一句型中的师徒传承关系。</w:t>
      </w:r>
    </w:p>
    <w:p w14:paraId="076567A6">
      <w:pPr>
        <w:spacing w:after="120" w:line="360" w:lineRule="auto"/>
        <w:jc w:val="both"/>
      </w:pPr>
      <w:r>
        <w:rPr>
          <w:rFonts w:ascii="宋体" w:hAnsi="宋体" w:eastAsia="宋体" w:cs="宋体"/>
          <w:b/>
          <w:bCs/>
          <w:sz w:val="24"/>
          <w:szCs w:val="24"/>
        </w:rPr>
        <w:t>基于机器学习的抽取。</w:t>
      </w:r>
      <w:r>
        <w:rPr>
          <w:rFonts w:ascii="宋体" w:hAnsi="宋体" w:eastAsia="宋体" w:cs="宋体"/>
          <w:sz w:val="24"/>
          <w:szCs w:val="24"/>
        </w:rPr>
        <w:t xml:space="preserve"> 标注训练语料，训练命名实体识别和关系抽取模型。考虑到屯堡文化领域的专业性，需要标注领域专用语料。</w:t>
      </w:r>
    </w:p>
    <w:p w14:paraId="37A025BC">
      <w:pPr>
        <w:pStyle w:val="4"/>
        <w:spacing w:before="300" w:after="200"/>
      </w:pPr>
      <w:bookmarkStart w:id="204" w:name="_Toc12295"/>
      <w:r>
        <w:rPr>
          <w:rFonts w:ascii="黑体" w:hAnsi="黑体" w:eastAsia="黑体" w:cs="黑体"/>
          <w:b/>
          <w:bCs/>
          <w:color w:val="000000"/>
          <w:sz w:val="26"/>
          <w:szCs w:val="26"/>
        </w:rPr>
        <w:t>7.4.3 多模态知识整合</w:t>
      </w:r>
      <w:bookmarkEnd w:id="204"/>
    </w:p>
    <w:p w14:paraId="09A92311">
      <w:pPr>
        <w:spacing w:after="120" w:line="360" w:lineRule="auto"/>
        <w:jc w:val="both"/>
      </w:pPr>
      <w:r>
        <w:rPr>
          <w:rFonts w:ascii="宋体" w:hAnsi="宋体" w:eastAsia="宋体" w:cs="宋体"/>
          <w:sz w:val="24"/>
          <w:szCs w:val="24"/>
        </w:rPr>
        <w:t>屯堡文化知识不仅存在于文本中，还嵌入在图像、视频、三维模型中。多模态知识图谱将这些非文本数据也纳入知识网络。</w:t>
      </w:r>
    </w:p>
    <w:p w14:paraId="04C15E17">
      <w:pPr>
        <w:spacing w:after="120" w:line="360" w:lineRule="auto"/>
        <w:jc w:val="both"/>
      </w:pPr>
      <w:r>
        <w:rPr>
          <w:rFonts w:ascii="宋体" w:hAnsi="宋体" w:eastAsia="宋体" w:cs="宋体"/>
          <w:sz w:val="24"/>
          <w:szCs w:val="24"/>
        </w:rPr>
        <w:t>例如，一面地戏面具的三维模型可以与以下知识关联：该面具的角色（如关羽）、所属的剧目（如《三国演义》）、雕刻者（某位传承人）、收藏地点（某村寨）、使用的颜料成分（高光谱分析结果）、不同年代的照片（视觉变迁记录）。</w:t>
      </w:r>
    </w:p>
    <w:p w14:paraId="175F5F15">
      <w:pPr>
        <w:pStyle w:val="3"/>
        <w:spacing w:before="300" w:after="200"/>
      </w:pPr>
      <w:bookmarkStart w:id="205" w:name="_Toc4107"/>
      <w:r>
        <w:rPr>
          <w:rFonts w:ascii="黑体" w:hAnsi="黑体" w:eastAsia="黑体" w:cs="黑体"/>
          <w:b/>
          <w:bCs/>
          <w:color w:val="000000"/>
          <w:sz w:val="28"/>
          <w:szCs w:val="28"/>
        </w:rPr>
        <w:t>7.5 知识图谱应用场景</w:t>
      </w:r>
      <w:bookmarkEnd w:id="205"/>
    </w:p>
    <w:p w14:paraId="6F5E2CE6">
      <w:pPr>
        <w:pStyle w:val="4"/>
        <w:spacing w:before="300" w:after="200"/>
      </w:pPr>
      <w:bookmarkStart w:id="206" w:name="_Toc25715"/>
      <w:r>
        <w:rPr>
          <w:rFonts w:ascii="黑体" w:hAnsi="黑体" w:eastAsia="黑体" w:cs="黑体"/>
          <w:b/>
          <w:bCs/>
          <w:color w:val="000000"/>
          <w:sz w:val="26"/>
          <w:szCs w:val="26"/>
        </w:rPr>
        <w:t>7.5.1 智能检索与问答</w:t>
      </w:r>
      <w:bookmarkEnd w:id="206"/>
    </w:p>
    <w:p w14:paraId="70D8B556">
      <w:pPr>
        <w:spacing w:after="120" w:line="360" w:lineRule="auto"/>
        <w:jc w:val="both"/>
      </w:pPr>
      <w:r>
        <w:rPr>
          <w:rFonts w:ascii="宋体" w:hAnsi="宋体" w:eastAsia="宋体" w:cs="宋体"/>
          <w:sz w:val="24"/>
          <w:szCs w:val="24"/>
        </w:rPr>
        <w:t>基于知识图谱的智能检索可以实现"语义搜索"——理解用户的查询意图，返回关联的知识而非简单匹配关键词。</w:t>
      </w:r>
    </w:p>
    <w:p w14:paraId="07CCB520">
      <w:pPr>
        <w:spacing w:after="120" w:line="360" w:lineRule="auto"/>
        <w:jc w:val="both"/>
      </w:pPr>
      <w:r>
        <w:rPr>
          <w:rFonts w:ascii="宋体" w:hAnsi="宋体" w:eastAsia="宋体" w:cs="宋体"/>
          <w:sz w:val="24"/>
          <w:szCs w:val="24"/>
        </w:rPr>
        <w:t>例如，用户查询"哪些地戏剧目中有女性角色"，传统关键词搜索可能无法返回满意结果（因为文本中可能没有"女性角色"这个词），而知识图谱可以通过"剧目-包含-角色-性别-女"的推理路径找到答案。</w:t>
      </w:r>
    </w:p>
    <w:p w14:paraId="145A3C95">
      <w:pPr>
        <w:spacing w:after="120" w:line="360" w:lineRule="auto"/>
        <w:jc w:val="both"/>
      </w:pPr>
      <w:r>
        <w:rPr>
          <w:rFonts w:ascii="宋体" w:hAnsi="宋体" w:eastAsia="宋体" w:cs="宋体"/>
          <w:sz w:val="24"/>
          <w:szCs w:val="24"/>
        </w:rPr>
        <w:t>智能问答系统（如基于知识图谱的聊天机器人）可以让游客以自然语言提问，获得关于屯堡文化的准确答案。</w:t>
      </w:r>
    </w:p>
    <w:p w14:paraId="2397873C">
      <w:pPr>
        <w:pStyle w:val="4"/>
        <w:spacing w:before="300" w:after="200"/>
      </w:pPr>
      <w:bookmarkStart w:id="207" w:name="_Toc23638"/>
      <w:r>
        <w:rPr>
          <w:rFonts w:ascii="黑体" w:hAnsi="黑体" w:eastAsia="黑体" w:cs="黑体"/>
          <w:b/>
          <w:bCs/>
          <w:color w:val="000000"/>
          <w:sz w:val="26"/>
          <w:szCs w:val="26"/>
        </w:rPr>
        <w:t>7.5.2 文化关联发现</w:t>
      </w:r>
      <w:bookmarkEnd w:id="207"/>
    </w:p>
    <w:p w14:paraId="5FE2A3CB">
      <w:pPr>
        <w:spacing w:after="120" w:line="360" w:lineRule="auto"/>
        <w:jc w:val="both"/>
      </w:pPr>
      <w:r>
        <w:rPr>
          <w:rFonts w:ascii="宋体" w:hAnsi="宋体" w:eastAsia="宋体" w:cs="宋体"/>
          <w:sz w:val="24"/>
          <w:szCs w:val="24"/>
        </w:rPr>
        <w:t>知识图谱可以发现隐藏的文化关联，支持学术研究。例如，通过分析传承人网络，可以发现某个村寨的地戏风格与其他村寨的异同；通过分析不同时期的老照片，可以追踪建筑风貌的变迁轨迹；通过关联不同非遗项目，可以发现它们之间的相互影响。</w:t>
      </w:r>
    </w:p>
    <w:p w14:paraId="1C8A0D27">
      <w:pPr>
        <w:pStyle w:val="4"/>
        <w:spacing w:before="300" w:after="200"/>
      </w:pPr>
      <w:bookmarkStart w:id="208" w:name="_Toc24077"/>
      <w:r>
        <w:rPr>
          <w:rFonts w:ascii="黑体" w:hAnsi="黑体" w:eastAsia="黑体" w:cs="黑体"/>
          <w:b/>
          <w:bCs/>
          <w:color w:val="000000"/>
          <w:sz w:val="26"/>
          <w:szCs w:val="26"/>
        </w:rPr>
        <w:t>7.5.3 智能推荐</w:t>
      </w:r>
      <w:bookmarkEnd w:id="208"/>
    </w:p>
    <w:p w14:paraId="2C5CC4EE">
      <w:pPr>
        <w:spacing w:after="120" w:line="360" w:lineRule="auto"/>
        <w:jc w:val="both"/>
      </w:pPr>
      <w:r>
        <w:rPr>
          <w:rFonts w:ascii="宋体" w:hAnsi="宋体" w:eastAsia="宋体" w:cs="宋体"/>
          <w:sz w:val="24"/>
          <w:szCs w:val="24"/>
        </w:rPr>
        <w:t>在旅游和文创领域，知识图谱可以支持个性化推荐。根据游客已参观的景点和感兴趣的方面，推荐与之关联的其他村寨、非遗体验项目、文创产品。</w:t>
      </w:r>
    </w:p>
    <w:p w14:paraId="135AB9CF">
      <w:pPr>
        <w:pStyle w:val="4"/>
        <w:spacing w:before="300" w:after="200"/>
      </w:pPr>
      <w:bookmarkStart w:id="209" w:name="_Toc692"/>
      <w:r>
        <w:rPr>
          <w:rFonts w:ascii="黑体" w:hAnsi="黑体" w:eastAsia="黑体" w:cs="黑体"/>
          <w:b/>
          <w:bCs/>
          <w:color w:val="000000"/>
          <w:sz w:val="26"/>
          <w:szCs w:val="26"/>
        </w:rPr>
        <w:t>7.5.4 数字叙事</w:t>
      </w:r>
      <w:bookmarkEnd w:id="209"/>
    </w:p>
    <w:p w14:paraId="78F80690">
      <w:pPr>
        <w:spacing w:after="120" w:line="360" w:lineRule="auto"/>
        <w:jc w:val="both"/>
      </w:pPr>
      <w:r>
        <w:rPr>
          <w:rFonts w:ascii="宋体" w:hAnsi="宋体" w:eastAsia="宋体" w:cs="宋体"/>
          <w:sz w:val="24"/>
          <w:szCs w:val="24"/>
        </w:rPr>
        <w:t>知识图谱可以为数字叙事提供内容支撑。根据用户的兴趣偏好，自动从知识图谱中抽取相关的人物、事件、地点，生成个性化的文化导览故事。例如，为对军事历史感兴趣的游客生成"屯堡军事防御体系"主题导览，为对服饰文化感兴趣的游客生成"凤阳汉装六百年"主题导览。</w:t>
      </w:r>
    </w:p>
    <w:p w14:paraId="789DD896">
      <w:pPr>
        <w:pStyle w:val="3"/>
        <w:spacing w:before="300" w:after="200"/>
      </w:pPr>
      <w:bookmarkStart w:id="210" w:name="_Toc9606"/>
      <w:r>
        <w:rPr>
          <w:rFonts w:ascii="黑体" w:hAnsi="黑体" w:eastAsia="黑体" w:cs="黑体"/>
          <w:b/>
          <w:bCs/>
          <w:color w:val="000000"/>
          <w:sz w:val="28"/>
          <w:szCs w:val="28"/>
        </w:rPr>
        <w:t>7.6 屯堡文化大数据平台设计</w:t>
      </w:r>
      <w:bookmarkEnd w:id="210"/>
    </w:p>
    <w:p w14:paraId="35B4C628">
      <w:pPr>
        <w:pStyle w:val="4"/>
        <w:spacing w:before="300" w:after="200"/>
      </w:pPr>
      <w:bookmarkStart w:id="211" w:name="_Toc8237"/>
      <w:r>
        <w:rPr>
          <w:rFonts w:ascii="黑体" w:hAnsi="黑体" w:eastAsia="黑体" w:cs="黑体"/>
          <w:b/>
          <w:bCs/>
          <w:color w:val="000000"/>
          <w:sz w:val="26"/>
          <w:szCs w:val="26"/>
        </w:rPr>
        <w:t>7.6.1 平台总体架构</w:t>
      </w:r>
      <w:bookmarkEnd w:id="211"/>
    </w:p>
    <w:p w14:paraId="6000DC2C">
      <w:pPr>
        <w:spacing w:after="120" w:line="360" w:lineRule="auto"/>
        <w:jc w:val="both"/>
      </w:pPr>
      <w:r>
        <w:rPr>
          <w:rFonts w:ascii="宋体" w:hAnsi="宋体" w:eastAsia="宋体" w:cs="宋体"/>
          <w:sz w:val="24"/>
          <w:szCs w:val="24"/>
        </w:rPr>
        <w:t>屯堡文化大数据平台建议采用五层架构：</w:t>
      </w:r>
    </w:p>
    <w:p w14:paraId="708A3FD5">
      <w:pPr>
        <w:spacing w:after="120" w:line="360" w:lineRule="auto"/>
        <w:jc w:val="both"/>
      </w:pPr>
      <w:r>
        <w:rPr>
          <w:rFonts w:ascii="宋体" w:hAnsi="宋体" w:eastAsia="宋体" w:cs="宋体"/>
          <w:b/>
          <w:bCs/>
          <w:sz w:val="24"/>
          <w:szCs w:val="24"/>
        </w:rPr>
        <w:t>基础设施层。</w:t>
      </w:r>
      <w:r>
        <w:rPr>
          <w:rFonts w:ascii="宋体" w:hAnsi="宋体" w:eastAsia="宋体" w:cs="宋体"/>
          <w:sz w:val="24"/>
          <w:szCs w:val="24"/>
        </w:rPr>
        <w:t xml:space="preserve"> 云服务器、存储系统、网络设施。依托贵州省大数据基础设施（"云上贵州"），降低建设和运维成本。</w:t>
      </w:r>
    </w:p>
    <w:p w14:paraId="4DCCB114">
      <w:pPr>
        <w:spacing w:after="120" w:line="360" w:lineRule="auto"/>
        <w:jc w:val="both"/>
      </w:pPr>
      <w:r>
        <w:rPr>
          <w:rFonts w:ascii="宋体" w:hAnsi="宋体" w:eastAsia="宋体" w:cs="宋体"/>
          <w:b/>
          <w:bCs/>
          <w:sz w:val="24"/>
          <w:szCs w:val="24"/>
        </w:rPr>
        <w:t>数据资源层。</w:t>
      </w:r>
      <w:r>
        <w:rPr>
          <w:rFonts w:ascii="宋体" w:hAnsi="宋体" w:eastAsia="宋体" w:cs="宋体"/>
          <w:sz w:val="24"/>
          <w:szCs w:val="24"/>
        </w:rPr>
        <w:t xml:space="preserve"> 各类数据库（关系数据库、图数据库、文档数据库）和文件存储系统（对象存储、分布式文件系统）。</w:t>
      </w:r>
    </w:p>
    <w:p w14:paraId="4DCFCF8B">
      <w:pPr>
        <w:spacing w:after="120" w:line="360" w:lineRule="auto"/>
        <w:jc w:val="both"/>
      </w:pPr>
      <w:r>
        <w:rPr>
          <w:rFonts w:ascii="宋体" w:hAnsi="宋体" w:eastAsia="宋体" w:cs="宋体"/>
          <w:b/>
          <w:bCs/>
          <w:sz w:val="24"/>
          <w:szCs w:val="24"/>
        </w:rPr>
        <w:t>数据治理层。</w:t>
      </w:r>
      <w:r>
        <w:rPr>
          <w:rFonts w:ascii="宋体" w:hAnsi="宋体" w:eastAsia="宋体" w:cs="宋体"/>
          <w:sz w:val="24"/>
          <w:szCs w:val="24"/>
        </w:rPr>
        <w:t xml:space="preserve"> 元数据管理、数据质量管理、数据安全管理、数据生命周期管理。</w:t>
      </w:r>
    </w:p>
    <w:p w14:paraId="427A04CC">
      <w:pPr>
        <w:spacing w:after="120" w:line="360" w:lineRule="auto"/>
        <w:jc w:val="both"/>
      </w:pPr>
      <w:r>
        <w:rPr>
          <w:rFonts w:ascii="宋体" w:hAnsi="宋体" w:eastAsia="宋体" w:cs="宋体"/>
          <w:b/>
          <w:bCs/>
          <w:sz w:val="24"/>
          <w:szCs w:val="24"/>
        </w:rPr>
        <w:t>服务支撑层。</w:t>
      </w:r>
      <w:r>
        <w:rPr>
          <w:rFonts w:ascii="宋体" w:hAnsi="宋体" w:eastAsia="宋体" w:cs="宋体"/>
          <w:sz w:val="24"/>
          <w:szCs w:val="24"/>
        </w:rPr>
        <w:t xml:space="preserve"> 知识图谱引擎、三维可视化引擎、GIS引擎、AI引擎（NLP、CV）、数据分析和可视化引擎。</w:t>
      </w:r>
    </w:p>
    <w:p w14:paraId="0460CA49">
      <w:pPr>
        <w:spacing w:after="120" w:line="360" w:lineRule="auto"/>
        <w:jc w:val="both"/>
      </w:pPr>
      <w:r>
        <w:rPr>
          <w:rFonts w:ascii="宋体" w:hAnsi="宋体" w:eastAsia="宋体" w:cs="宋体"/>
          <w:b/>
          <w:bCs/>
          <w:sz w:val="24"/>
          <w:szCs w:val="24"/>
        </w:rPr>
        <w:t>应用层。</w:t>
      </w:r>
      <w:r>
        <w:rPr>
          <w:rFonts w:ascii="宋体" w:hAnsi="宋体" w:eastAsia="宋体" w:cs="宋体"/>
          <w:sz w:val="24"/>
          <w:szCs w:val="24"/>
        </w:rPr>
        <w:t xml:space="preserve"> 面向不同用户群体的应用系统——管理者使用的监测预警系统、研究者使用的知识检索系统、公众使用的虚拟导览系统、开发者使用的API接口。</w:t>
      </w:r>
    </w:p>
    <w:p w14:paraId="602ADC4C">
      <w:pPr>
        <w:pStyle w:val="4"/>
        <w:spacing w:before="300" w:after="200"/>
      </w:pPr>
      <w:bookmarkStart w:id="212" w:name="_Toc1685"/>
      <w:r>
        <w:rPr>
          <w:rFonts w:ascii="黑体" w:hAnsi="黑体" w:eastAsia="黑体" w:cs="黑体"/>
          <w:b/>
          <w:bCs/>
          <w:color w:val="000000"/>
          <w:sz w:val="26"/>
          <w:szCs w:val="26"/>
        </w:rPr>
        <w:t>7.6.2 数据共享与开放</w:t>
      </w:r>
      <w:bookmarkEnd w:id="212"/>
    </w:p>
    <w:p w14:paraId="0607ACC5">
      <w:pPr>
        <w:spacing w:after="120" w:line="360" w:lineRule="auto"/>
        <w:jc w:val="both"/>
      </w:pPr>
      <w:r>
        <w:rPr>
          <w:rFonts w:ascii="宋体" w:hAnsi="宋体" w:eastAsia="宋体" w:cs="宋体"/>
          <w:sz w:val="24"/>
          <w:szCs w:val="24"/>
        </w:rPr>
        <w:t>屯堡文化大数据平台应采取分级开放策略：</w:t>
      </w:r>
    </w:p>
    <w:p w14:paraId="798D3566">
      <w:pPr>
        <w:spacing w:after="120" w:line="360" w:lineRule="auto"/>
        <w:jc w:val="both"/>
      </w:pPr>
      <w:r>
        <w:rPr>
          <w:rFonts w:ascii="宋体" w:hAnsi="宋体" w:eastAsia="宋体" w:cs="宋体"/>
          <w:b/>
          <w:bCs/>
          <w:sz w:val="24"/>
          <w:szCs w:val="24"/>
        </w:rPr>
        <w:t>公开数据。</w:t>
      </w:r>
      <w:r>
        <w:rPr>
          <w:rFonts w:ascii="宋体" w:hAnsi="宋体" w:eastAsia="宋体" w:cs="宋体"/>
          <w:sz w:val="24"/>
          <w:szCs w:val="24"/>
        </w:rPr>
        <w:t xml:space="preserve"> 面向全体公众，无需注册即可访问。包括屯堡文化基本信息、旅游导览信息、公开的学术资源等。</w:t>
      </w:r>
    </w:p>
    <w:p w14:paraId="21594050">
      <w:pPr>
        <w:spacing w:after="120" w:line="360" w:lineRule="auto"/>
        <w:jc w:val="both"/>
      </w:pPr>
      <w:r>
        <w:rPr>
          <w:rFonts w:ascii="宋体" w:hAnsi="宋体" w:eastAsia="宋体" w:cs="宋体"/>
          <w:b/>
          <w:bCs/>
          <w:sz w:val="24"/>
          <w:szCs w:val="24"/>
        </w:rPr>
        <w:t>注册数据。</w:t>
      </w:r>
      <w:r>
        <w:rPr>
          <w:rFonts w:ascii="宋体" w:hAnsi="宋体" w:eastAsia="宋体" w:cs="宋体"/>
          <w:sz w:val="24"/>
          <w:szCs w:val="24"/>
        </w:rPr>
        <w:t xml:space="preserve"> 面向注册用户（研究者、学生、从业者），需注册并同意使用协议。包括高清影像、三维模型、学术论文全文等。</w:t>
      </w:r>
    </w:p>
    <w:p w14:paraId="5CEBC7AF">
      <w:pPr>
        <w:spacing w:after="120" w:line="360" w:lineRule="auto"/>
        <w:jc w:val="both"/>
      </w:pPr>
      <w:r>
        <w:rPr>
          <w:rFonts w:ascii="宋体" w:hAnsi="宋体" w:eastAsia="宋体" w:cs="宋体"/>
          <w:b/>
          <w:bCs/>
          <w:sz w:val="24"/>
          <w:szCs w:val="24"/>
        </w:rPr>
        <w:t>授权数据。</w:t>
      </w:r>
      <w:r>
        <w:rPr>
          <w:rFonts w:ascii="宋体" w:hAnsi="宋体" w:eastAsia="宋体" w:cs="宋体"/>
          <w:sz w:val="24"/>
          <w:szCs w:val="24"/>
        </w:rPr>
        <w:t xml:space="preserve"> 面向特定合作机构，需签署数据使用协议。包括详细测绘数据、口述史全文、社区内部资料等。</w:t>
      </w:r>
    </w:p>
    <w:p w14:paraId="4A8C534A">
      <w:pPr>
        <w:spacing w:after="120" w:line="360" w:lineRule="auto"/>
        <w:jc w:val="both"/>
      </w:pPr>
      <w:r>
        <w:rPr>
          <w:rFonts w:ascii="宋体" w:hAnsi="宋体" w:eastAsia="宋体" w:cs="宋体"/>
          <w:b/>
          <w:bCs/>
          <w:sz w:val="24"/>
          <w:szCs w:val="24"/>
        </w:rPr>
        <w:t>保密数据。</w:t>
      </w:r>
      <w:r>
        <w:rPr>
          <w:rFonts w:ascii="宋体" w:hAnsi="宋体" w:eastAsia="宋体" w:cs="宋体"/>
          <w:sz w:val="24"/>
          <w:szCs w:val="24"/>
        </w:rPr>
        <w:t xml:space="preserve"> 涉及个人隐私和敏感文化信息，仅限特定人员在特定条件下访问。</w:t>
      </w:r>
    </w:p>
    <w:p w14:paraId="6DC5A747">
      <w:pPr>
        <w:pStyle w:val="4"/>
        <w:spacing w:before="300" w:after="200"/>
      </w:pPr>
      <w:bookmarkStart w:id="213" w:name="_Toc4410"/>
      <w:r>
        <w:rPr>
          <w:rFonts w:ascii="黑体" w:hAnsi="黑体" w:eastAsia="黑体" w:cs="黑体"/>
          <w:b/>
          <w:bCs/>
          <w:color w:val="000000"/>
          <w:sz w:val="26"/>
          <w:szCs w:val="26"/>
        </w:rPr>
        <w:t>7.6.3 可持续发展机制</w:t>
      </w:r>
      <w:bookmarkEnd w:id="213"/>
    </w:p>
    <w:p w14:paraId="5C8BD260">
      <w:pPr>
        <w:spacing w:after="120" w:line="360" w:lineRule="auto"/>
        <w:jc w:val="both"/>
      </w:pPr>
      <w:r>
        <w:rPr>
          <w:rFonts w:ascii="宋体" w:hAnsi="宋体" w:eastAsia="宋体" w:cs="宋体"/>
          <w:sz w:val="24"/>
          <w:szCs w:val="24"/>
        </w:rPr>
        <w:t>屯堡文化大数据平台的可持续发展需要建立以下机制：</w:t>
      </w:r>
    </w:p>
    <w:p w14:paraId="167A9A11">
      <w:pPr>
        <w:spacing w:after="120" w:line="360" w:lineRule="auto"/>
        <w:jc w:val="both"/>
      </w:pPr>
      <w:r>
        <w:rPr>
          <w:rFonts w:ascii="宋体" w:hAnsi="宋体" w:eastAsia="宋体" w:cs="宋体"/>
          <w:b/>
          <w:bCs/>
          <w:sz w:val="24"/>
          <w:szCs w:val="24"/>
        </w:rPr>
        <w:t>数据持续更新机制。</w:t>
      </w:r>
      <w:r>
        <w:rPr>
          <w:rFonts w:ascii="宋体" w:hAnsi="宋体" w:eastAsia="宋体" w:cs="宋体"/>
          <w:sz w:val="24"/>
          <w:szCs w:val="24"/>
        </w:rPr>
        <w:t xml:space="preserve"> 定期采集新数据，更新已有数据，确保平台的时效性。</w:t>
      </w:r>
    </w:p>
    <w:p w14:paraId="3AA727FD">
      <w:pPr>
        <w:spacing w:after="120" w:line="360" w:lineRule="auto"/>
        <w:jc w:val="both"/>
      </w:pPr>
      <w:r>
        <w:rPr>
          <w:rFonts w:ascii="宋体" w:hAnsi="宋体" w:eastAsia="宋体" w:cs="宋体"/>
          <w:b/>
          <w:bCs/>
          <w:sz w:val="24"/>
          <w:szCs w:val="24"/>
        </w:rPr>
        <w:t>社区参与机制。</w:t>
      </w:r>
      <w:r>
        <w:rPr>
          <w:rFonts w:ascii="宋体" w:hAnsi="宋体" w:eastAsia="宋体" w:cs="宋体"/>
          <w:sz w:val="24"/>
          <w:szCs w:val="24"/>
        </w:rPr>
        <w:t xml:space="preserve"> 鼓励屯堡社区居民上传自家的老照片、口述史、民俗活动记录，使平台成为社区共建的文化记忆库。</w:t>
      </w:r>
    </w:p>
    <w:p w14:paraId="774AC5C8">
      <w:pPr>
        <w:spacing w:after="120" w:line="360" w:lineRule="auto"/>
        <w:jc w:val="both"/>
      </w:pPr>
      <w:r>
        <w:rPr>
          <w:rFonts w:ascii="宋体" w:hAnsi="宋体" w:eastAsia="宋体" w:cs="宋体"/>
          <w:b/>
          <w:bCs/>
          <w:sz w:val="24"/>
          <w:szCs w:val="24"/>
        </w:rPr>
        <w:t>产学研合作机制。</w:t>
      </w:r>
      <w:r>
        <w:rPr>
          <w:rFonts w:ascii="宋体" w:hAnsi="宋体" w:eastAsia="宋体" w:cs="宋体"/>
          <w:sz w:val="24"/>
          <w:szCs w:val="24"/>
        </w:rPr>
        <w:t xml:space="preserve"> 与高校、研究机构合作，利用平台数据开展学术研究，研究成果反哺平台建设。</w:t>
      </w:r>
    </w:p>
    <w:p w14:paraId="366B22A6">
      <w:pPr>
        <w:spacing w:after="120" w:line="360" w:lineRule="auto"/>
        <w:jc w:val="both"/>
      </w:pPr>
      <w:r>
        <w:rPr>
          <w:rFonts w:ascii="宋体" w:hAnsi="宋体" w:eastAsia="宋体" w:cs="宋体"/>
          <w:b/>
          <w:bCs/>
          <w:sz w:val="24"/>
          <w:szCs w:val="24"/>
        </w:rPr>
        <w:t>运营经费保障机制。</w:t>
      </w:r>
      <w:r>
        <w:rPr>
          <w:rFonts w:ascii="宋体" w:hAnsi="宋体" w:eastAsia="宋体" w:cs="宋体"/>
          <w:sz w:val="24"/>
          <w:szCs w:val="24"/>
        </w:rPr>
        <w:t xml:space="preserve"> 探索"基础服务公益化、增值服务市场化"的运营模式，通过文创授权、数据服务等方式获取运营经费。</w:t>
      </w:r>
    </w:p>
    <w:p w14:paraId="50AB7AD6">
      <w:pPr>
        <w:pStyle w:val="3"/>
        <w:spacing w:before="300" w:after="200"/>
      </w:pPr>
      <w:bookmarkStart w:id="214" w:name="_Toc13536"/>
      <w:r>
        <w:rPr>
          <w:rFonts w:ascii="黑体" w:hAnsi="黑体" w:eastAsia="黑体" w:cs="黑体"/>
          <w:b/>
          <w:bCs/>
          <w:color w:val="000000"/>
          <w:sz w:val="28"/>
          <w:szCs w:val="28"/>
        </w:rPr>
        <w:t>本章小结</w:t>
      </w:r>
      <w:bookmarkEnd w:id="214"/>
    </w:p>
    <w:p w14:paraId="3390A08F">
      <w:pPr>
        <w:spacing w:after="120" w:line="360" w:lineRule="auto"/>
        <w:jc w:val="both"/>
      </w:pPr>
      <w:r>
        <w:rPr>
          <w:rFonts w:ascii="宋体" w:hAnsi="宋体" w:eastAsia="宋体" w:cs="宋体"/>
          <w:sz w:val="24"/>
          <w:szCs w:val="24"/>
        </w:rPr>
        <w:t>屯堡文化数据分散化、非标准化等问题需要通过建立统一的大数据平台来解决。元数据标准（以都柏林核心为基础扩展专用元素）是数据整合的基础。知识图谱技术将分散的知识组织为语义网络，支持智能检索、关联发现、个性化推荐和数字叙事等应用。屯堡文化大数据平台应采用五层架构，实施分级开放策略，建立可持续的运营机制。</w:t>
      </w:r>
    </w:p>
    <w:p w14:paraId="0F42C8AF">
      <w:pPr>
        <w:pStyle w:val="3"/>
        <w:spacing w:before="300" w:after="200"/>
      </w:pPr>
      <w:bookmarkStart w:id="215" w:name="_Toc18329"/>
      <w:r>
        <w:rPr>
          <w:rFonts w:ascii="黑体" w:hAnsi="黑体" w:eastAsia="黑体" w:cs="黑体"/>
          <w:b/>
          <w:bCs/>
          <w:color w:val="000000"/>
          <w:sz w:val="28"/>
          <w:szCs w:val="28"/>
        </w:rPr>
        <w:t>思考与练习</w:t>
      </w:r>
      <w:bookmarkEnd w:id="215"/>
    </w:p>
    <w:p w14:paraId="78990CC1">
      <w:pPr>
        <w:pStyle w:val="19"/>
        <w:numPr>
          <w:ilvl w:val="0"/>
          <w:numId w:val="2"/>
        </w:numPr>
        <w:spacing w:after="60" w:line="340" w:lineRule="auto"/>
      </w:pPr>
      <w:r>
        <w:rPr>
          <w:rFonts w:ascii="宋体" w:hAnsi="宋体" w:eastAsia="宋体" w:cs="宋体"/>
          <w:sz w:val="24"/>
          <w:szCs w:val="24"/>
        </w:rPr>
        <w:t>为屯堡文化数据设计一份完整的元数据方案。</w:t>
      </w:r>
    </w:p>
    <w:p w14:paraId="20560B68">
      <w:pPr>
        <w:pStyle w:val="19"/>
        <w:numPr>
          <w:ilvl w:val="0"/>
          <w:numId w:val="2"/>
        </w:numPr>
        <w:spacing w:after="60" w:line="340" w:lineRule="auto"/>
      </w:pPr>
      <w:r>
        <w:rPr>
          <w:rFonts w:ascii="宋体" w:hAnsi="宋体" w:eastAsia="宋体" w:cs="宋体"/>
          <w:sz w:val="24"/>
          <w:szCs w:val="24"/>
        </w:rPr>
        <w:t>用Protégé或Neo4j构建一个小型的屯堡文化知识图谱原型。</w:t>
      </w:r>
    </w:p>
    <w:p w14:paraId="0D04FD74">
      <w:pPr>
        <w:pStyle w:val="19"/>
        <w:numPr>
          <w:ilvl w:val="0"/>
          <w:numId w:val="2"/>
        </w:numPr>
        <w:spacing w:after="60" w:line="340" w:lineRule="auto"/>
      </w:pPr>
      <w:r>
        <w:rPr>
          <w:rFonts w:ascii="宋体" w:hAnsi="宋体" w:eastAsia="宋体" w:cs="宋体"/>
          <w:sz w:val="24"/>
          <w:szCs w:val="24"/>
        </w:rPr>
        <w:t>分析知识图谱在文化遗产旅游导览中的应用场景。</w:t>
      </w:r>
    </w:p>
    <w:p w14:paraId="2E95E32B">
      <w:pPr>
        <w:pStyle w:val="19"/>
        <w:numPr>
          <w:ilvl w:val="0"/>
          <w:numId w:val="2"/>
        </w:numPr>
        <w:spacing w:after="60" w:line="340" w:lineRule="auto"/>
      </w:pPr>
      <w:r>
        <w:rPr>
          <w:rFonts w:ascii="宋体" w:hAnsi="宋体" w:eastAsia="宋体" w:cs="宋体"/>
          <w:sz w:val="24"/>
          <w:szCs w:val="24"/>
        </w:rPr>
        <w:t>设计屯堡文化大数据平台的数据安全策略。</w:t>
      </w:r>
    </w:p>
    <w:p w14:paraId="55857CA9">
      <w:pPr>
        <w:pStyle w:val="19"/>
        <w:numPr>
          <w:ilvl w:val="0"/>
          <w:numId w:val="2"/>
        </w:numPr>
        <w:spacing w:after="60" w:line="340" w:lineRule="auto"/>
      </w:pPr>
      <w:r>
        <w:rPr>
          <w:rFonts w:ascii="宋体" w:hAnsi="宋体" w:eastAsia="宋体" w:cs="宋体"/>
          <w:sz w:val="24"/>
          <w:szCs w:val="24"/>
        </w:rPr>
        <w:t>讨论：如何平衡文化遗产数据的开放共享与知识产权保护？</w:t>
      </w:r>
    </w:p>
    <w:p w14:paraId="7CA43ADC">
      <w:pPr>
        <w:pStyle w:val="3"/>
        <w:spacing w:before="300" w:after="200"/>
      </w:pPr>
      <w:bookmarkStart w:id="216" w:name="_Toc32032"/>
      <w:r>
        <w:rPr>
          <w:rFonts w:ascii="黑体" w:hAnsi="黑体" w:eastAsia="黑体" w:cs="黑体"/>
          <w:b/>
          <w:bCs/>
          <w:color w:val="000000"/>
          <w:sz w:val="28"/>
          <w:szCs w:val="28"/>
        </w:rPr>
        <w:t>知识卡片：知识图谱 vs 传统数据库</w:t>
      </w:r>
      <w:bookmarkEnd w:id="216"/>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45E84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F8813F2">
            <w:pPr>
              <w:spacing w:after="0"/>
            </w:pPr>
            <w:r>
              <w:rPr>
                <w:rFonts w:ascii="宋体" w:hAnsi="宋体" w:eastAsia="宋体" w:cs="宋体"/>
                <w:b/>
                <w:bCs/>
                <w:color w:val="FFFFFF"/>
                <w:sz w:val="20"/>
                <w:szCs w:val="20"/>
              </w:rPr>
              <w:t>对比维度</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A2B1C15">
            <w:pPr>
              <w:spacing w:after="0"/>
            </w:pPr>
            <w:r>
              <w:rPr>
                <w:rFonts w:ascii="宋体" w:hAnsi="宋体" w:eastAsia="宋体" w:cs="宋体"/>
                <w:b/>
                <w:bCs/>
                <w:color w:val="FFFFFF"/>
                <w:sz w:val="20"/>
                <w:szCs w:val="20"/>
              </w:rPr>
              <w:t>传统关系数据库</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AE865C1">
            <w:pPr>
              <w:spacing w:after="0"/>
            </w:pPr>
            <w:r>
              <w:rPr>
                <w:rFonts w:ascii="宋体" w:hAnsi="宋体" w:eastAsia="宋体" w:cs="宋体"/>
                <w:b/>
                <w:bCs/>
                <w:color w:val="FFFFFF"/>
                <w:sz w:val="20"/>
                <w:szCs w:val="20"/>
              </w:rPr>
              <w:t>知识图谱</w:t>
            </w:r>
          </w:p>
        </w:tc>
      </w:tr>
      <w:tr w14:paraId="0EB9B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44F0FF">
            <w:pPr>
              <w:spacing w:after="0"/>
            </w:pPr>
            <w:r>
              <w:rPr>
                <w:rFonts w:ascii="宋体" w:hAnsi="宋体" w:eastAsia="宋体" w:cs="宋体"/>
                <w:sz w:val="20"/>
                <w:szCs w:val="20"/>
              </w:rPr>
              <w:t>数据模型</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9CB02D">
            <w:pPr>
              <w:spacing w:after="0"/>
            </w:pPr>
            <w:r>
              <w:rPr>
                <w:rFonts w:ascii="宋体" w:hAnsi="宋体" w:eastAsia="宋体" w:cs="宋体"/>
                <w:sz w:val="20"/>
                <w:szCs w:val="20"/>
              </w:rPr>
              <w:t>表（行和列）</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4F433D">
            <w:pPr>
              <w:spacing w:after="0"/>
            </w:pPr>
            <w:r>
              <w:rPr>
                <w:rFonts w:ascii="宋体" w:hAnsi="宋体" w:eastAsia="宋体" w:cs="宋体"/>
                <w:sz w:val="20"/>
                <w:szCs w:val="20"/>
              </w:rPr>
              <w:t>图（节点和边）</w:t>
            </w:r>
          </w:p>
        </w:tc>
      </w:tr>
      <w:tr w14:paraId="58D1B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07F7AE">
            <w:pPr>
              <w:spacing w:after="0"/>
            </w:pPr>
            <w:r>
              <w:rPr>
                <w:rFonts w:ascii="宋体" w:hAnsi="宋体" w:eastAsia="宋体" w:cs="宋体"/>
                <w:sz w:val="20"/>
                <w:szCs w:val="20"/>
              </w:rPr>
              <w:t>核心操作</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A0BF9A">
            <w:pPr>
              <w:spacing w:after="0"/>
            </w:pPr>
            <w:r>
              <w:rPr>
                <w:rFonts w:ascii="宋体" w:hAnsi="宋体" w:eastAsia="宋体" w:cs="宋体"/>
                <w:sz w:val="20"/>
                <w:szCs w:val="20"/>
              </w:rPr>
              <w:t>SQL查询（JOIN等）</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27652E">
            <w:pPr>
              <w:spacing w:after="0"/>
            </w:pPr>
            <w:r>
              <w:rPr>
                <w:rFonts w:ascii="宋体" w:hAnsi="宋体" w:eastAsia="宋体" w:cs="宋体"/>
                <w:sz w:val="20"/>
                <w:szCs w:val="20"/>
              </w:rPr>
              <w:t>图遍历和模式匹配</w:t>
            </w:r>
          </w:p>
        </w:tc>
      </w:tr>
      <w:tr w14:paraId="2C449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84BE86">
            <w:pPr>
              <w:spacing w:after="0"/>
            </w:pPr>
            <w:r>
              <w:rPr>
                <w:rFonts w:ascii="宋体" w:hAnsi="宋体" w:eastAsia="宋体" w:cs="宋体"/>
                <w:sz w:val="20"/>
                <w:szCs w:val="20"/>
              </w:rPr>
              <w:t>查询方式</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27E363">
            <w:pPr>
              <w:spacing w:after="0"/>
            </w:pPr>
            <w:r>
              <w:rPr>
                <w:rFonts w:ascii="宋体" w:hAnsi="宋体" w:eastAsia="宋体" w:cs="宋体"/>
                <w:sz w:val="20"/>
                <w:szCs w:val="20"/>
              </w:rPr>
              <w:t>精确的关键词匹配</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0830FD">
            <w:pPr>
              <w:spacing w:after="0"/>
            </w:pPr>
            <w:r>
              <w:rPr>
                <w:rFonts w:ascii="宋体" w:hAnsi="宋体" w:eastAsia="宋体" w:cs="宋体"/>
                <w:sz w:val="20"/>
                <w:szCs w:val="20"/>
              </w:rPr>
              <w:t>语义推理和关联发现</w:t>
            </w:r>
          </w:p>
        </w:tc>
      </w:tr>
      <w:tr w14:paraId="4A43B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76FF19">
            <w:pPr>
              <w:spacing w:after="0"/>
            </w:pPr>
            <w:r>
              <w:rPr>
                <w:rFonts w:ascii="宋体" w:hAnsi="宋体" w:eastAsia="宋体" w:cs="宋体"/>
                <w:sz w:val="20"/>
                <w:szCs w:val="20"/>
              </w:rPr>
              <w:t>扩展性</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D18091">
            <w:pPr>
              <w:spacing w:after="0"/>
            </w:pPr>
            <w:r>
              <w:rPr>
                <w:rFonts w:ascii="宋体" w:hAnsi="宋体" w:eastAsia="宋体" w:cs="宋体"/>
                <w:sz w:val="20"/>
                <w:szCs w:val="20"/>
              </w:rPr>
              <w:t>模式变更困难</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6E9FE1">
            <w:pPr>
              <w:spacing w:after="0"/>
            </w:pPr>
            <w:r>
              <w:rPr>
                <w:rFonts w:ascii="宋体" w:hAnsi="宋体" w:eastAsia="宋体" w:cs="宋体"/>
                <w:sz w:val="20"/>
                <w:szCs w:val="20"/>
              </w:rPr>
              <w:t>易于添加新的实体和关系类型</w:t>
            </w:r>
          </w:p>
        </w:tc>
      </w:tr>
      <w:tr w14:paraId="5A00F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667DB6">
            <w:pPr>
              <w:spacing w:after="0"/>
            </w:pPr>
            <w:r>
              <w:rPr>
                <w:rFonts w:ascii="宋体" w:hAnsi="宋体" w:eastAsia="宋体" w:cs="宋体"/>
                <w:sz w:val="20"/>
                <w:szCs w:val="20"/>
              </w:rPr>
              <w:t>适用场景</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23C2F0">
            <w:pPr>
              <w:spacing w:after="0"/>
            </w:pPr>
            <w:r>
              <w:rPr>
                <w:rFonts w:ascii="宋体" w:hAnsi="宋体" w:eastAsia="宋体" w:cs="宋体"/>
                <w:sz w:val="20"/>
                <w:szCs w:val="20"/>
              </w:rPr>
              <w:t>结构化数据的增删改查</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5ACCD2">
            <w:pPr>
              <w:spacing w:after="0"/>
            </w:pPr>
            <w:r>
              <w:rPr>
                <w:rFonts w:ascii="宋体" w:hAnsi="宋体" w:eastAsia="宋体" w:cs="宋体"/>
                <w:sz w:val="20"/>
                <w:szCs w:val="20"/>
              </w:rPr>
              <w:t>复杂关系的探索和分析</w:t>
            </w:r>
          </w:p>
        </w:tc>
      </w:tr>
    </w:tbl>
    <w:p w14:paraId="78FF3E11">
      <w:r>
        <w:br w:type="page"/>
      </w:r>
    </w:p>
    <w:p w14:paraId="12371C8B">
      <w:pPr>
        <w:pStyle w:val="2"/>
        <w:spacing w:before="400" w:after="200"/>
      </w:pPr>
      <w:bookmarkStart w:id="217" w:name="_Toc8035"/>
      <w:r>
        <w:rPr>
          <w:rFonts w:ascii="黑体" w:hAnsi="黑体" w:eastAsia="黑体" w:cs="黑体"/>
          <w:b/>
          <w:bCs/>
          <w:color w:val="1F4E79"/>
          <w:sz w:val="32"/>
          <w:szCs w:val="32"/>
        </w:rPr>
        <w:t>第 8 章  文化遗产旅游活化理论</w:t>
      </w:r>
      <w:bookmarkEnd w:id="217"/>
    </w:p>
    <w:p w14:paraId="399C69BD">
      <w:pPr>
        <w:pStyle w:val="3"/>
        <w:spacing w:before="300" w:after="200"/>
      </w:pPr>
      <w:bookmarkStart w:id="218" w:name="_Toc3135"/>
      <w:r>
        <w:rPr>
          <w:rFonts w:ascii="黑体" w:hAnsi="黑体" w:eastAsia="黑体" w:cs="黑体"/>
          <w:b/>
          <w:bCs/>
          <w:color w:val="000000"/>
          <w:sz w:val="28"/>
          <w:szCs w:val="28"/>
        </w:rPr>
        <w:t>学习目标</w:t>
      </w:r>
      <w:bookmarkEnd w:id="218"/>
    </w:p>
    <w:p w14:paraId="765CF0B0">
      <w:pPr>
        <w:pStyle w:val="19"/>
        <w:numPr>
          <w:ilvl w:val="0"/>
          <w:numId w:val="1"/>
        </w:numPr>
        <w:spacing w:after="60" w:line="340" w:lineRule="auto"/>
      </w:pPr>
      <w:r>
        <w:rPr>
          <w:rFonts w:ascii="宋体" w:hAnsi="宋体" w:eastAsia="宋体" w:cs="宋体"/>
          <w:sz w:val="24"/>
          <w:szCs w:val="24"/>
        </w:rPr>
        <w:t>理解文化遗产"活化"的概念内涵与理论基础</w:t>
      </w:r>
    </w:p>
    <w:p w14:paraId="5ACEFAA2">
      <w:pPr>
        <w:pStyle w:val="19"/>
        <w:numPr>
          <w:ilvl w:val="0"/>
          <w:numId w:val="1"/>
        </w:numPr>
        <w:spacing w:after="60" w:line="340" w:lineRule="auto"/>
      </w:pPr>
      <w:r>
        <w:rPr>
          <w:rFonts w:ascii="宋体" w:hAnsi="宋体" w:eastAsia="宋体" w:cs="宋体"/>
          <w:sz w:val="24"/>
          <w:szCs w:val="24"/>
        </w:rPr>
        <w:t>掌握文化遗产旅游活化的主要模式与实践路径</w:t>
      </w:r>
    </w:p>
    <w:p w14:paraId="794BC9E4">
      <w:pPr>
        <w:pStyle w:val="19"/>
        <w:numPr>
          <w:ilvl w:val="0"/>
          <w:numId w:val="1"/>
        </w:numPr>
        <w:spacing w:after="60" w:line="340" w:lineRule="auto"/>
      </w:pPr>
      <w:r>
        <w:rPr>
          <w:rFonts w:ascii="宋体" w:hAnsi="宋体" w:eastAsia="宋体" w:cs="宋体"/>
          <w:sz w:val="24"/>
          <w:szCs w:val="24"/>
        </w:rPr>
        <w:t>了解原真性理论、体验经济理论在遗产旅游中的应用</w:t>
      </w:r>
    </w:p>
    <w:p w14:paraId="0EF2C070">
      <w:pPr>
        <w:pStyle w:val="19"/>
        <w:numPr>
          <w:ilvl w:val="0"/>
          <w:numId w:val="1"/>
        </w:numPr>
        <w:spacing w:after="60" w:line="340" w:lineRule="auto"/>
      </w:pPr>
      <w:r>
        <w:rPr>
          <w:rFonts w:ascii="宋体" w:hAnsi="宋体" w:eastAsia="宋体" w:cs="宋体"/>
          <w:sz w:val="24"/>
          <w:szCs w:val="24"/>
        </w:rPr>
        <w:t>分析屯堡文化旅游活化的现状、问题与机遇</w:t>
      </w:r>
    </w:p>
    <w:p w14:paraId="5DDC28ED">
      <w:pPr>
        <w:pStyle w:val="19"/>
        <w:numPr>
          <w:ilvl w:val="0"/>
          <w:numId w:val="1"/>
        </w:numPr>
        <w:spacing w:after="60" w:line="340" w:lineRule="auto"/>
      </w:pPr>
      <w:r>
        <w:rPr>
          <w:rFonts w:ascii="宋体" w:hAnsi="宋体" w:eastAsia="宋体" w:cs="宋体"/>
          <w:sz w:val="24"/>
          <w:szCs w:val="24"/>
        </w:rPr>
        <w:t>能够评价文化遗产旅游活化项目的成效</w:t>
      </w:r>
    </w:p>
    <w:p w14:paraId="4D67B3B8">
      <w:pPr>
        <w:pStyle w:val="3"/>
        <w:spacing w:before="300" w:after="200"/>
      </w:pPr>
      <w:bookmarkStart w:id="219" w:name="_Toc13873"/>
      <w:r>
        <w:rPr>
          <w:rFonts w:ascii="黑体" w:hAnsi="黑体" w:eastAsia="黑体" w:cs="黑体"/>
          <w:b/>
          <w:bCs/>
          <w:color w:val="000000"/>
          <w:sz w:val="28"/>
          <w:szCs w:val="28"/>
        </w:rPr>
        <w:t>导入案例：天龙屯堡的两种"活法"</w:t>
      </w:r>
      <w:bookmarkEnd w:id="219"/>
    </w:p>
    <w:p w14:paraId="7AC8EA25">
      <w:pPr>
        <w:spacing w:after="120" w:line="360" w:lineRule="auto"/>
        <w:jc w:val="both"/>
      </w:pPr>
      <w:r>
        <w:rPr>
          <w:rFonts w:ascii="宋体" w:hAnsi="宋体" w:eastAsia="宋体" w:cs="宋体"/>
          <w:sz w:val="24"/>
          <w:szCs w:val="24"/>
        </w:rPr>
        <w:t>天龙屯堡是屯堡文化旅游开发的先行者。2001年，天龙屯堡开始收门票，引入旅游公司进行商业化运营。村里修了停车场，老街两旁开满了卖银饰和蜡染的店铺，地戏表演从祭祀仪式变成了每天两场的旅游演出。</w:t>
      </w:r>
    </w:p>
    <w:p w14:paraId="74E0265C">
      <w:pPr>
        <w:spacing w:after="120" w:line="360" w:lineRule="auto"/>
        <w:jc w:val="both"/>
      </w:pPr>
      <w:r>
        <w:rPr>
          <w:rFonts w:ascii="宋体" w:hAnsi="宋体" w:eastAsia="宋体" w:cs="宋体"/>
          <w:sz w:val="24"/>
          <w:szCs w:val="24"/>
        </w:rPr>
        <w:t>旅游带来了收入，也带来了争议。学者批评天龙屯堡"过度商业化"，原住民成了"景区演员"；游客抱怨"商业气息太重，看不到真实的生活"。2022年，天龙屯堡启动"去商业化"整治，拆除了一批与屯堡风貌不协调的商铺，恢复了部分巷道的生活功能。</w:t>
      </w:r>
    </w:p>
    <w:p w14:paraId="051C45E4">
      <w:pPr>
        <w:spacing w:after="120" w:line="360" w:lineRule="auto"/>
        <w:jc w:val="both"/>
      </w:pPr>
      <w:r>
        <w:rPr>
          <w:rFonts w:ascii="宋体" w:hAnsi="宋体" w:eastAsia="宋体" w:cs="宋体"/>
          <w:sz w:val="24"/>
          <w:szCs w:val="24"/>
        </w:rPr>
        <w:t>与此同时，距离天龙不远的鲍家屯选择了另一种"活法"：不建景区大门，不搞大规模商业开发，而是通过古水利系统的修缮和利用，发展研学旅游和生态农业。游客来到鲍家屯，不是"参观景点"，而是"体验生活"——跟着村民去水渠边洗菜，在石板路上散步，在老宅里喝茶。</w:t>
      </w:r>
    </w:p>
    <w:p w14:paraId="6E7ADB89">
      <w:pPr>
        <w:spacing w:after="120" w:line="360" w:lineRule="auto"/>
        <w:jc w:val="both"/>
      </w:pPr>
      <w:r>
        <w:rPr>
          <w:rFonts w:ascii="宋体" w:hAnsi="宋体" w:eastAsia="宋体" w:cs="宋体"/>
          <w:sz w:val="24"/>
          <w:szCs w:val="24"/>
        </w:rPr>
        <w:t>两种"活法"，折射出文化遗产旅游活化的核心命题：如何在保护与开发之间找到平衡？如何让文化遗产"活"起来，而不是"火"起来后"毁"掉？</w:t>
      </w:r>
    </w:p>
    <w:p w14:paraId="2BF9FC30">
      <w:pPr>
        <w:pStyle w:val="3"/>
        <w:spacing w:before="300" w:after="200"/>
      </w:pPr>
      <w:bookmarkStart w:id="220" w:name="_Toc25727"/>
      <w:r>
        <w:rPr>
          <w:rFonts w:ascii="黑体" w:hAnsi="黑体" w:eastAsia="黑体" w:cs="黑体"/>
          <w:b/>
          <w:bCs/>
          <w:color w:val="000000"/>
          <w:sz w:val="28"/>
          <w:szCs w:val="28"/>
        </w:rPr>
        <w:t>8.1 文化遗产"活化"的概念与理论</w:t>
      </w:r>
      <w:bookmarkEnd w:id="220"/>
    </w:p>
    <w:p w14:paraId="13EE87F4">
      <w:pPr>
        <w:pStyle w:val="4"/>
        <w:spacing w:before="300" w:after="200"/>
      </w:pPr>
      <w:bookmarkStart w:id="221" w:name="_Toc7191"/>
      <w:r>
        <w:rPr>
          <w:rFonts w:ascii="黑体" w:hAnsi="黑体" w:eastAsia="黑体" w:cs="黑体"/>
          <w:b/>
          <w:bCs/>
          <w:color w:val="000000"/>
          <w:sz w:val="26"/>
          <w:szCs w:val="26"/>
        </w:rPr>
        <w:t>8.1.1 "活化"概念辨析</w:t>
      </w:r>
      <w:bookmarkEnd w:id="221"/>
    </w:p>
    <w:p w14:paraId="4712ED20">
      <w:pPr>
        <w:spacing w:after="120" w:line="360" w:lineRule="auto"/>
        <w:jc w:val="both"/>
      </w:pPr>
      <w:r>
        <w:rPr>
          <w:rFonts w:ascii="宋体" w:hAnsi="宋体" w:eastAsia="宋体" w:cs="宋体"/>
          <w:sz w:val="24"/>
          <w:szCs w:val="24"/>
        </w:rPr>
        <w:t>"活化"是近年来中国文化遗产领域使用频率最高的词汇之一，但它的确切含义并不总是清晰。在不同的语境中，"活化"至少有以下几种含义：</w:t>
      </w:r>
    </w:p>
    <w:p w14:paraId="1E40221E">
      <w:pPr>
        <w:spacing w:after="120" w:line="360" w:lineRule="auto"/>
        <w:jc w:val="both"/>
      </w:pPr>
      <w:r>
        <w:rPr>
          <w:rFonts w:ascii="宋体" w:hAnsi="宋体" w:eastAsia="宋体" w:cs="宋体"/>
          <w:b/>
          <w:bCs/>
          <w:sz w:val="24"/>
          <w:szCs w:val="24"/>
        </w:rPr>
        <w:t>功能活化。</w:t>
      </w:r>
      <w:r>
        <w:rPr>
          <w:rFonts w:ascii="宋体" w:hAnsi="宋体" w:eastAsia="宋体" w:cs="宋体"/>
          <w:sz w:val="24"/>
          <w:szCs w:val="24"/>
        </w:rPr>
        <w:t xml:space="preserve"> 为闲置或废弃的文化遗产注入新的使用功能，使其重新融入当代社会生活。例如，将闲置的屯堡老宅改造为乡村民宿或文化书院。</w:t>
      </w:r>
    </w:p>
    <w:p w14:paraId="6A903750">
      <w:pPr>
        <w:spacing w:after="120" w:line="360" w:lineRule="auto"/>
        <w:jc w:val="both"/>
      </w:pPr>
      <w:r>
        <w:rPr>
          <w:rFonts w:ascii="宋体" w:hAnsi="宋体" w:eastAsia="宋体" w:cs="宋体"/>
          <w:b/>
          <w:bCs/>
          <w:sz w:val="24"/>
          <w:szCs w:val="24"/>
        </w:rPr>
        <w:t>价值活化。</w:t>
      </w:r>
      <w:r>
        <w:rPr>
          <w:rFonts w:ascii="宋体" w:hAnsi="宋体" w:eastAsia="宋体" w:cs="宋体"/>
          <w:sz w:val="24"/>
          <w:szCs w:val="24"/>
        </w:rPr>
        <w:t xml:space="preserve"> 将文化遗产的潜在价值（历史价值、艺术价值、经济价值等）转化为实际的社会效益和经济效益。例如，将地戏面具的审美价值转化为文创产品的市场价值。</w:t>
      </w:r>
    </w:p>
    <w:p w14:paraId="504D1387">
      <w:pPr>
        <w:spacing w:after="120" w:line="360" w:lineRule="auto"/>
        <w:jc w:val="both"/>
      </w:pPr>
      <w:r>
        <w:rPr>
          <w:rFonts w:ascii="宋体" w:hAnsi="宋体" w:eastAsia="宋体" w:cs="宋体"/>
          <w:b/>
          <w:bCs/>
          <w:sz w:val="24"/>
          <w:szCs w:val="24"/>
        </w:rPr>
        <w:t>体验活化。</w:t>
      </w:r>
      <w:r>
        <w:rPr>
          <w:rFonts w:ascii="宋体" w:hAnsi="宋体" w:eastAsia="宋体" w:cs="宋体"/>
          <w:sz w:val="24"/>
          <w:szCs w:val="24"/>
        </w:rPr>
        <w:t xml:space="preserve"> 通过故事化、场景化、互动化的手段，让文化遗产从"静态展示"变为"动态体验"。例如，从"看地戏表演"到"学地戏动作、画面具脸谱"。</w:t>
      </w:r>
    </w:p>
    <w:p w14:paraId="0418B178">
      <w:pPr>
        <w:spacing w:after="120" w:line="360" w:lineRule="auto"/>
        <w:jc w:val="both"/>
      </w:pPr>
      <w:r>
        <w:rPr>
          <w:rFonts w:ascii="宋体" w:hAnsi="宋体" w:eastAsia="宋体" w:cs="宋体"/>
          <w:b/>
          <w:bCs/>
          <w:sz w:val="24"/>
          <w:szCs w:val="24"/>
        </w:rPr>
        <w:t>社区活化。</w:t>
      </w:r>
      <w:r>
        <w:rPr>
          <w:rFonts w:ascii="宋体" w:hAnsi="宋体" w:eastAsia="宋体" w:cs="宋体"/>
          <w:sz w:val="24"/>
          <w:szCs w:val="24"/>
        </w:rPr>
        <w:t xml:space="preserve"> 让社区重新成为文化遗产保护和传承的主体，而非被动的"被保护者"。例如，从"政府出钱修老宅"到"村民自觉维护老宅并从中获益"。</w:t>
      </w:r>
    </w:p>
    <w:p w14:paraId="4DF2E76D">
      <w:pPr>
        <w:spacing w:after="120" w:line="360" w:lineRule="auto"/>
        <w:jc w:val="both"/>
      </w:pPr>
      <w:r>
        <w:rPr>
          <w:rFonts w:ascii="宋体" w:hAnsi="宋体" w:eastAsia="宋体" w:cs="宋体"/>
          <w:sz w:val="24"/>
          <w:szCs w:val="24"/>
        </w:rPr>
        <w:t>综合来看，文化遗产"活化"的核心内涵是：让文化遗产在当代社会中重新发挥功能、创造价值、获得生命力，实现从"死保"到"活用"的转变。</w:t>
      </w:r>
    </w:p>
    <w:p w14:paraId="279DAB3F">
      <w:pPr>
        <w:pStyle w:val="4"/>
        <w:spacing w:before="300" w:after="200"/>
      </w:pPr>
      <w:bookmarkStart w:id="222" w:name="_Toc6396"/>
      <w:r>
        <w:rPr>
          <w:rFonts w:ascii="黑体" w:hAnsi="黑体" w:eastAsia="黑体" w:cs="黑体"/>
          <w:b/>
          <w:bCs/>
          <w:color w:val="000000"/>
          <w:sz w:val="26"/>
          <w:szCs w:val="26"/>
        </w:rPr>
        <w:t>8.1.2 理论基础</w:t>
      </w:r>
      <w:bookmarkEnd w:id="222"/>
    </w:p>
    <w:p w14:paraId="22E7EEE4">
      <w:pPr>
        <w:spacing w:after="120" w:line="360" w:lineRule="auto"/>
        <w:jc w:val="both"/>
      </w:pPr>
      <w:r>
        <w:rPr>
          <w:rFonts w:ascii="宋体" w:hAnsi="宋体" w:eastAsia="宋体" w:cs="宋体"/>
          <w:sz w:val="24"/>
          <w:szCs w:val="24"/>
        </w:rPr>
        <w:t>文化遗产旅游活化的理论基础包括多个学科领域：</w:t>
      </w:r>
    </w:p>
    <w:p w14:paraId="50977A5B">
      <w:pPr>
        <w:spacing w:after="120" w:line="360" w:lineRule="auto"/>
        <w:jc w:val="both"/>
      </w:pPr>
      <w:r>
        <w:rPr>
          <w:rFonts w:ascii="宋体" w:hAnsi="宋体" w:eastAsia="宋体" w:cs="宋体"/>
          <w:b/>
          <w:bCs/>
          <w:sz w:val="24"/>
          <w:szCs w:val="24"/>
        </w:rPr>
        <w:t>可持续发展理论。</w:t>
      </w:r>
      <w:r>
        <w:rPr>
          <w:rFonts w:ascii="宋体" w:hAnsi="宋体" w:eastAsia="宋体" w:cs="宋体"/>
          <w:sz w:val="24"/>
          <w:szCs w:val="24"/>
        </w:rPr>
        <w:t xml:space="preserve"> 强调文化遗产的利用不能以牺牲后代的发展权利为代价。旅游活化必须在文化保护、经济效益和社区发展之间找到平衡点。</w:t>
      </w:r>
    </w:p>
    <w:p w14:paraId="40A35B7C">
      <w:pPr>
        <w:spacing w:after="120" w:line="360" w:lineRule="auto"/>
        <w:jc w:val="both"/>
      </w:pPr>
      <w:r>
        <w:rPr>
          <w:rFonts w:ascii="宋体" w:hAnsi="宋体" w:eastAsia="宋体" w:cs="宋体"/>
          <w:b/>
          <w:bCs/>
          <w:sz w:val="24"/>
          <w:szCs w:val="24"/>
        </w:rPr>
        <w:t>体验经济理论。</w:t>
      </w:r>
      <w:r>
        <w:rPr>
          <w:rFonts w:ascii="宋体" w:hAnsi="宋体" w:eastAsia="宋体" w:cs="宋体"/>
          <w:sz w:val="24"/>
          <w:szCs w:val="24"/>
        </w:rPr>
        <w:t xml:space="preserve"> Pine和Gilmore提出，经济价值的演进经历了商品-产品-服务-体验四个阶段。文化遗产旅游的本质是"体验"——游客购买的不是纪念品（商品），不是住宿（服务），而是在屯堡"过一天明代人的生活"的独特体验。</w:t>
      </w:r>
    </w:p>
    <w:p w14:paraId="3DE96FF1">
      <w:pPr>
        <w:spacing w:after="120" w:line="360" w:lineRule="auto"/>
        <w:jc w:val="both"/>
      </w:pPr>
      <w:r>
        <w:rPr>
          <w:rFonts w:ascii="宋体" w:hAnsi="宋体" w:eastAsia="宋体" w:cs="宋体"/>
          <w:b/>
          <w:bCs/>
          <w:sz w:val="24"/>
          <w:szCs w:val="24"/>
        </w:rPr>
        <w:t>原真性理论。</w:t>
      </w:r>
      <w:r>
        <w:rPr>
          <w:rFonts w:ascii="宋体" w:hAnsi="宋体" w:eastAsia="宋体" w:cs="宋体"/>
          <w:sz w:val="24"/>
          <w:szCs w:val="24"/>
        </w:rPr>
        <w:t xml:space="preserve"> 旅游学者MacCannell提出"舞台化原真性"（Staged Authenticity）概念，指出旅游场景中的"原真性"往往是建构的。对于文化遗产旅游活化而言，关键不是追求绝对的"原汁原味"，而是在"真实"与"可体验"之间找到适当的表达方式。</w:t>
      </w:r>
    </w:p>
    <w:p w14:paraId="5AD06E8D">
      <w:pPr>
        <w:spacing w:after="120" w:line="360" w:lineRule="auto"/>
        <w:jc w:val="both"/>
      </w:pPr>
      <w:r>
        <w:rPr>
          <w:rFonts w:ascii="宋体" w:hAnsi="宋体" w:eastAsia="宋体" w:cs="宋体"/>
          <w:b/>
          <w:bCs/>
          <w:sz w:val="24"/>
          <w:szCs w:val="24"/>
        </w:rPr>
        <w:t>社区参与理论。</w:t>
      </w:r>
      <w:r>
        <w:rPr>
          <w:rFonts w:ascii="宋体" w:hAnsi="宋体" w:eastAsia="宋体" w:cs="宋体"/>
          <w:sz w:val="24"/>
          <w:szCs w:val="24"/>
        </w:rPr>
        <w:t xml:space="preserve"> 强调社区是文化遗产的主人，旅游活化必须以社区为主体，确保社区从旅游发展中获得实质性利益。</w:t>
      </w:r>
    </w:p>
    <w:p w14:paraId="1BC0C5F2">
      <w:pPr>
        <w:pStyle w:val="3"/>
        <w:spacing w:before="300" w:after="200"/>
      </w:pPr>
      <w:bookmarkStart w:id="223" w:name="_Toc13750"/>
      <w:r>
        <w:rPr>
          <w:rFonts w:ascii="黑体" w:hAnsi="黑体" w:eastAsia="黑体" w:cs="黑体"/>
          <w:b/>
          <w:bCs/>
          <w:color w:val="000000"/>
          <w:sz w:val="28"/>
          <w:szCs w:val="28"/>
        </w:rPr>
        <w:t>8.2 文化遗产旅游活化的主要模式</w:t>
      </w:r>
      <w:bookmarkEnd w:id="223"/>
    </w:p>
    <w:p w14:paraId="74A099D4">
      <w:pPr>
        <w:pStyle w:val="4"/>
        <w:spacing w:before="300" w:after="200"/>
      </w:pPr>
      <w:bookmarkStart w:id="224" w:name="_Toc27131"/>
      <w:r>
        <w:rPr>
          <w:rFonts w:ascii="黑体" w:hAnsi="黑体" w:eastAsia="黑体" w:cs="黑体"/>
          <w:b/>
          <w:bCs/>
          <w:color w:val="000000"/>
          <w:sz w:val="26"/>
          <w:szCs w:val="26"/>
        </w:rPr>
        <w:t>8.2.1 博物馆化模式</w:t>
      </w:r>
      <w:bookmarkEnd w:id="224"/>
    </w:p>
    <w:p w14:paraId="48A83CF9">
      <w:pPr>
        <w:spacing w:after="120" w:line="360" w:lineRule="auto"/>
        <w:jc w:val="both"/>
      </w:pPr>
      <w:r>
        <w:rPr>
          <w:rFonts w:ascii="宋体" w:hAnsi="宋体" w:eastAsia="宋体" w:cs="宋体"/>
          <w:sz w:val="24"/>
          <w:szCs w:val="24"/>
        </w:rPr>
        <w:t>将文化遗产保护在博物馆或遗址公园中，通过展陈、解说和教育活动向公众开放。这是最传统的文化遗产利用模式。</w:t>
      </w:r>
    </w:p>
    <w:p w14:paraId="4DDF681A">
      <w:pPr>
        <w:spacing w:after="120" w:line="360" w:lineRule="auto"/>
        <w:jc w:val="both"/>
      </w:pPr>
      <w:r>
        <w:rPr>
          <w:rFonts w:ascii="宋体" w:hAnsi="宋体" w:eastAsia="宋体" w:cs="宋体"/>
          <w:sz w:val="24"/>
          <w:szCs w:val="24"/>
        </w:rPr>
        <w:t>优势是保护效果好，学术研究便利。局限是"博物馆化"可能割裂文化遗产与其原生环境的联系，使"活态遗产"变成"死的展品"。</w:t>
      </w:r>
    </w:p>
    <w:p w14:paraId="6AF3D23C">
      <w:pPr>
        <w:pStyle w:val="4"/>
        <w:spacing w:before="300" w:after="200"/>
      </w:pPr>
      <w:bookmarkStart w:id="225" w:name="_Toc8128"/>
      <w:r>
        <w:rPr>
          <w:rFonts w:ascii="黑体" w:hAnsi="黑体" w:eastAsia="黑体" w:cs="黑体"/>
          <w:b/>
          <w:bCs/>
          <w:color w:val="000000"/>
          <w:sz w:val="26"/>
          <w:szCs w:val="26"/>
        </w:rPr>
        <w:t>8.2.2 景区化模式</w:t>
      </w:r>
      <w:bookmarkEnd w:id="225"/>
    </w:p>
    <w:p w14:paraId="30728241">
      <w:pPr>
        <w:spacing w:after="120" w:line="360" w:lineRule="auto"/>
        <w:jc w:val="both"/>
      </w:pPr>
      <w:r>
        <w:rPr>
          <w:rFonts w:ascii="宋体" w:hAnsi="宋体" w:eastAsia="宋体" w:cs="宋体"/>
          <w:sz w:val="24"/>
          <w:szCs w:val="24"/>
        </w:rPr>
        <w:t>将文化遗产地开发为旅游景区，通过门票、餐饮、住宿、文创等商业运营获取收益。</w:t>
      </w:r>
    </w:p>
    <w:p w14:paraId="751270EE">
      <w:pPr>
        <w:spacing w:after="120" w:line="360" w:lineRule="auto"/>
        <w:jc w:val="both"/>
      </w:pPr>
      <w:r>
        <w:rPr>
          <w:rFonts w:ascii="宋体" w:hAnsi="宋体" w:eastAsia="宋体" w:cs="宋体"/>
          <w:sz w:val="24"/>
          <w:szCs w:val="24"/>
        </w:rPr>
        <w:t>优势是经济效益显著，能带动地方经济发展。局限是过度商业化可能损害文化遗产的原真性和社区的日常生活。</w:t>
      </w:r>
    </w:p>
    <w:p w14:paraId="56ADF3B2">
      <w:pPr>
        <w:pStyle w:val="4"/>
        <w:spacing w:before="300" w:after="200"/>
      </w:pPr>
      <w:bookmarkStart w:id="226" w:name="_Toc28898"/>
      <w:r>
        <w:rPr>
          <w:rFonts w:ascii="黑体" w:hAnsi="黑体" w:eastAsia="黑体" w:cs="黑体"/>
          <w:b/>
          <w:bCs/>
          <w:color w:val="000000"/>
          <w:sz w:val="26"/>
          <w:szCs w:val="26"/>
        </w:rPr>
        <w:t>8.2.3 社区化模式</w:t>
      </w:r>
      <w:bookmarkEnd w:id="226"/>
    </w:p>
    <w:p w14:paraId="0E7B5C17">
      <w:pPr>
        <w:spacing w:after="120" w:line="360" w:lineRule="auto"/>
        <w:jc w:val="both"/>
      </w:pPr>
      <w:r>
        <w:rPr>
          <w:rFonts w:ascii="宋体" w:hAnsi="宋体" w:eastAsia="宋体" w:cs="宋体"/>
          <w:sz w:val="24"/>
          <w:szCs w:val="24"/>
        </w:rPr>
        <w:t>以社区为主体，在保持原有生活功能的基础上，开放部分空间和文化活动供游客体验。</w:t>
      </w:r>
    </w:p>
    <w:p w14:paraId="4524AD95">
      <w:pPr>
        <w:spacing w:after="120" w:line="360" w:lineRule="auto"/>
        <w:jc w:val="both"/>
      </w:pPr>
      <w:r>
        <w:rPr>
          <w:rFonts w:ascii="宋体" w:hAnsi="宋体" w:eastAsia="宋体" w:cs="宋体"/>
          <w:sz w:val="24"/>
          <w:szCs w:val="24"/>
        </w:rPr>
        <w:t>优势是保持了文化遗产的活态性，社区受益直接。局限是游客承载量有限，经济效益可能不如景区化模式。</w:t>
      </w:r>
    </w:p>
    <w:p w14:paraId="06A68283">
      <w:pPr>
        <w:pStyle w:val="4"/>
        <w:spacing w:before="300" w:after="200"/>
      </w:pPr>
      <w:bookmarkStart w:id="227" w:name="_Toc10136"/>
      <w:r>
        <w:rPr>
          <w:rFonts w:ascii="黑体" w:hAnsi="黑体" w:eastAsia="黑体" w:cs="黑体"/>
          <w:b/>
          <w:bCs/>
          <w:color w:val="000000"/>
          <w:sz w:val="26"/>
          <w:szCs w:val="26"/>
        </w:rPr>
        <w:t>8.2.4 数字化模式</w:t>
      </w:r>
      <w:bookmarkEnd w:id="227"/>
    </w:p>
    <w:p w14:paraId="2DF8FF4E">
      <w:pPr>
        <w:spacing w:after="120" w:line="360" w:lineRule="auto"/>
        <w:jc w:val="both"/>
      </w:pPr>
      <w:r>
        <w:rPr>
          <w:rFonts w:ascii="宋体" w:hAnsi="宋体" w:eastAsia="宋体" w:cs="宋体"/>
          <w:sz w:val="24"/>
          <w:szCs w:val="24"/>
        </w:rPr>
        <w:t>通过数字技术在虚拟空间中"活化"文化遗产，提供线上导览、VR体验、数字文创等服务。</w:t>
      </w:r>
    </w:p>
    <w:p w14:paraId="57F9647F">
      <w:pPr>
        <w:spacing w:after="120" w:line="360" w:lineRule="auto"/>
        <w:jc w:val="both"/>
      </w:pPr>
      <w:r>
        <w:rPr>
          <w:rFonts w:ascii="宋体" w:hAnsi="宋体" w:eastAsia="宋体" w:cs="宋体"/>
          <w:sz w:val="24"/>
          <w:szCs w:val="24"/>
        </w:rPr>
        <w:t>优势是突破物理空间的限制，不影响遗产本体。局限是数字体验无法替代现场的沉浸感。</w:t>
      </w:r>
    </w:p>
    <w:p w14:paraId="2E70F3B7">
      <w:pPr>
        <w:pStyle w:val="4"/>
        <w:spacing w:before="300" w:after="200"/>
      </w:pPr>
      <w:bookmarkStart w:id="228" w:name="_Toc16596"/>
      <w:r>
        <w:rPr>
          <w:rFonts w:ascii="黑体" w:hAnsi="黑体" w:eastAsia="黑体" w:cs="黑体"/>
          <w:b/>
          <w:bCs/>
          <w:color w:val="000000"/>
          <w:sz w:val="26"/>
          <w:szCs w:val="26"/>
        </w:rPr>
        <w:t>8.2.5 融合模式</w:t>
      </w:r>
      <w:bookmarkEnd w:id="228"/>
    </w:p>
    <w:p w14:paraId="0A41FE14">
      <w:pPr>
        <w:spacing w:after="120" w:line="360" w:lineRule="auto"/>
        <w:jc w:val="both"/>
      </w:pPr>
      <w:r>
        <w:rPr>
          <w:rFonts w:ascii="宋体" w:hAnsi="宋体" w:eastAsia="宋体" w:cs="宋体"/>
          <w:sz w:val="24"/>
          <w:szCs w:val="24"/>
        </w:rPr>
        <w:t>在实践中，成功的文化遗产旅游活化往往是多种模式的融合。天龙屯堡的转型方向就是从单一的"景区化模式"向"景区化+社区化+数字化"的融合模式转变。</w:t>
      </w:r>
    </w:p>
    <w:p w14:paraId="041568FF">
      <w:pPr>
        <w:pStyle w:val="3"/>
        <w:spacing w:before="300" w:after="200"/>
      </w:pPr>
      <w:bookmarkStart w:id="229" w:name="_Toc18935"/>
      <w:r>
        <w:rPr>
          <w:rFonts w:ascii="黑体" w:hAnsi="黑体" w:eastAsia="黑体" w:cs="黑体"/>
          <w:b/>
          <w:bCs/>
          <w:color w:val="000000"/>
          <w:sz w:val="28"/>
          <w:szCs w:val="28"/>
        </w:rPr>
        <w:t>8.3 屯堡文化旅游活化的现状分析</w:t>
      </w:r>
      <w:bookmarkEnd w:id="229"/>
    </w:p>
    <w:p w14:paraId="0AEDC934">
      <w:pPr>
        <w:pStyle w:val="4"/>
        <w:spacing w:before="300" w:after="200"/>
      </w:pPr>
      <w:bookmarkStart w:id="230" w:name="_Toc18752"/>
      <w:r>
        <w:rPr>
          <w:rFonts w:ascii="黑体" w:hAnsi="黑体" w:eastAsia="黑体" w:cs="黑体"/>
          <w:b/>
          <w:bCs/>
          <w:color w:val="000000"/>
          <w:sz w:val="26"/>
          <w:szCs w:val="26"/>
        </w:rPr>
        <w:t>8.3.1 发展历程</w:t>
      </w:r>
      <w:bookmarkEnd w:id="230"/>
    </w:p>
    <w:p w14:paraId="2AF6F305">
      <w:pPr>
        <w:spacing w:after="120" w:line="360" w:lineRule="auto"/>
        <w:jc w:val="both"/>
      </w:pPr>
      <w:r>
        <w:rPr>
          <w:rFonts w:ascii="宋体" w:hAnsi="宋体" w:eastAsia="宋体" w:cs="宋体"/>
          <w:sz w:val="24"/>
          <w:szCs w:val="24"/>
        </w:rPr>
        <w:t>屯堡文化旅游的发展可分为三个阶段：</w:t>
      </w:r>
    </w:p>
    <w:p w14:paraId="4266B7FC">
      <w:pPr>
        <w:spacing w:after="120" w:line="360" w:lineRule="auto"/>
        <w:jc w:val="both"/>
      </w:pPr>
      <w:r>
        <w:rPr>
          <w:rFonts w:ascii="宋体" w:hAnsi="宋体" w:eastAsia="宋体" w:cs="宋体"/>
          <w:b/>
          <w:bCs/>
          <w:sz w:val="24"/>
          <w:szCs w:val="24"/>
        </w:rPr>
        <w:t>探索期（2001-2010年）。</w:t>
      </w:r>
      <w:r>
        <w:rPr>
          <w:rFonts w:ascii="宋体" w:hAnsi="宋体" w:eastAsia="宋体" w:cs="宋体"/>
          <w:sz w:val="24"/>
          <w:szCs w:val="24"/>
        </w:rPr>
        <w:t xml:space="preserve"> 以天龙屯堡为代表，开始商业化旅游开发。这一时期的主要成就是让"屯堡"从学术概念变成了旅游品牌，但过度商业化的弊端也开始显现。</w:t>
      </w:r>
    </w:p>
    <w:p w14:paraId="2640AB13">
      <w:pPr>
        <w:spacing w:after="120" w:line="360" w:lineRule="auto"/>
        <w:jc w:val="both"/>
      </w:pPr>
      <w:r>
        <w:rPr>
          <w:rFonts w:ascii="宋体" w:hAnsi="宋体" w:eastAsia="宋体" w:cs="宋体"/>
          <w:b/>
          <w:bCs/>
          <w:sz w:val="24"/>
          <w:szCs w:val="24"/>
        </w:rPr>
        <w:t>调整期（2011-2020年）。</w:t>
      </w:r>
      <w:r>
        <w:rPr>
          <w:rFonts w:ascii="宋体" w:hAnsi="宋体" w:eastAsia="宋体" w:cs="宋体"/>
          <w:sz w:val="24"/>
          <w:szCs w:val="24"/>
        </w:rPr>
        <w:t xml:space="preserve"> 随着本寨、云山屯、鲍家屯等村寨逐步进入旅游市场，屯堡旅游从"天龙一家独大"走向"多村差异化发展"。本寨主打建筑文化，云山屯主打山居体验，鲍家屯主打水利遗产，旧州主打文化融合——各村开始找到自己的定位。</w:t>
      </w:r>
    </w:p>
    <w:p w14:paraId="5AE83179">
      <w:pPr>
        <w:spacing w:after="120" w:line="360" w:lineRule="auto"/>
        <w:jc w:val="both"/>
      </w:pPr>
      <w:r>
        <w:rPr>
          <w:rFonts w:ascii="宋体" w:hAnsi="宋体" w:eastAsia="宋体" w:cs="宋体"/>
          <w:b/>
          <w:bCs/>
          <w:sz w:val="24"/>
          <w:szCs w:val="24"/>
        </w:rPr>
        <w:t>提质期（2021年至今）。</w:t>
      </w:r>
      <w:r>
        <w:rPr>
          <w:rFonts w:ascii="宋体" w:hAnsi="宋体" w:eastAsia="宋体" w:cs="宋体"/>
          <w:sz w:val="24"/>
          <w:szCs w:val="24"/>
        </w:rPr>
        <w:t xml:space="preserve"> 在贵州"四大文化工程"和"屯堡文化国家文物保护利用示范区"的政策推动下，屯堡文化旅游进入提质升级阶段。"屯堡旅居"成为新概念，强调从"观光游"向"深度体验游"转型。</w:t>
      </w:r>
    </w:p>
    <w:p w14:paraId="15C741BF">
      <w:pPr>
        <w:pStyle w:val="4"/>
        <w:spacing w:before="300" w:after="200"/>
      </w:pPr>
      <w:bookmarkStart w:id="231" w:name="_Toc29165"/>
      <w:r>
        <w:rPr>
          <w:rFonts w:ascii="黑体" w:hAnsi="黑体" w:eastAsia="黑体" w:cs="黑体"/>
          <w:b/>
          <w:bCs/>
          <w:color w:val="000000"/>
          <w:sz w:val="26"/>
          <w:szCs w:val="26"/>
        </w:rPr>
        <w:t>8.3.2 主要成效</w:t>
      </w:r>
      <w:bookmarkEnd w:id="231"/>
    </w:p>
    <w:p w14:paraId="4F19FE6A">
      <w:pPr>
        <w:spacing w:after="120" w:line="360" w:lineRule="auto"/>
        <w:jc w:val="both"/>
      </w:pPr>
      <w:r>
        <w:rPr>
          <w:rFonts w:ascii="宋体" w:hAnsi="宋体" w:eastAsia="宋体" w:cs="宋体"/>
          <w:b/>
          <w:bCs/>
          <w:sz w:val="24"/>
          <w:szCs w:val="24"/>
        </w:rPr>
        <w:t>文化品牌效应。</w:t>
      </w:r>
      <w:r>
        <w:rPr>
          <w:rFonts w:ascii="宋体" w:hAnsi="宋体" w:eastAsia="宋体" w:cs="宋体"/>
          <w:sz w:val="24"/>
          <w:szCs w:val="24"/>
        </w:rPr>
        <w:t xml:space="preserve"> "屯堡文化"已成为贵州文化旅游的知名品牌，天龙屯堡入选国家4A级景区，"云峰屯堡"获评中国历史文化名村。</w:t>
      </w:r>
    </w:p>
    <w:p w14:paraId="2767952F">
      <w:pPr>
        <w:spacing w:after="120" w:line="360" w:lineRule="auto"/>
        <w:jc w:val="both"/>
      </w:pPr>
      <w:r>
        <w:rPr>
          <w:rFonts w:ascii="宋体" w:hAnsi="宋体" w:eastAsia="宋体" w:cs="宋体"/>
          <w:b/>
          <w:bCs/>
          <w:sz w:val="24"/>
          <w:szCs w:val="24"/>
        </w:rPr>
        <w:t>经济效益。</w:t>
      </w:r>
      <w:r>
        <w:rPr>
          <w:rFonts w:ascii="宋体" w:hAnsi="宋体" w:eastAsia="宋体" w:cs="宋体"/>
          <w:sz w:val="24"/>
          <w:szCs w:val="24"/>
        </w:rPr>
        <w:t xml:space="preserve"> 屯堡文化旅游带动了安顺市西秀区和平坝区的旅游经济发展，创造了餐饮、住宿、交通、文创等就业机会。</w:t>
      </w:r>
    </w:p>
    <w:p w14:paraId="71DC962D">
      <w:pPr>
        <w:spacing w:after="120" w:line="360" w:lineRule="auto"/>
        <w:jc w:val="both"/>
      </w:pPr>
      <w:r>
        <w:rPr>
          <w:rFonts w:ascii="宋体" w:hAnsi="宋体" w:eastAsia="宋体" w:cs="宋体"/>
          <w:b/>
          <w:bCs/>
          <w:sz w:val="24"/>
          <w:szCs w:val="24"/>
        </w:rPr>
        <w:t>文化自信提升。</w:t>
      </w:r>
      <w:r>
        <w:rPr>
          <w:rFonts w:ascii="宋体" w:hAnsi="宋体" w:eastAsia="宋体" w:cs="宋体"/>
          <w:sz w:val="24"/>
          <w:szCs w:val="24"/>
        </w:rPr>
        <w:t xml:space="preserve"> 旅游开发使屯堡人重新认识到自身文化的价值，"屯堡人"的身份认同从"落后的山里人"转变为"明代文化的传承者"。</w:t>
      </w:r>
    </w:p>
    <w:p w14:paraId="2DBDDEE8">
      <w:pPr>
        <w:pStyle w:val="4"/>
        <w:spacing w:before="300" w:after="200"/>
      </w:pPr>
      <w:bookmarkStart w:id="232" w:name="_Toc8796"/>
      <w:r>
        <w:rPr>
          <w:rFonts w:ascii="黑体" w:hAnsi="黑体" w:eastAsia="黑体" w:cs="黑体"/>
          <w:b/>
          <w:bCs/>
          <w:color w:val="000000"/>
          <w:sz w:val="26"/>
          <w:szCs w:val="26"/>
        </w:rPr>
        <w:t>8.3.3 存在的主要问题</w:t>
      </w:r>
      <w:bookmarkEnd w:id="232"/>
    </w:p>
    <w:p w14:paraId="6CA6644A">
      <w:pPr>
        <w:spacing w:after="120" w:line="360" w:lineRule="auto"/>
        <w:jc w:val="both"/>
      </w:pPr>
      <w:r>
        <w:rPr>
          <w:rFonts w:ascii="宋体" w:hAnsi="宋体" w:eastAsia="宋体" w:cs="宋体"/>
          <w:b/>
          <w:bCs/>
          <w:sz w:val="24"/>
          <w:szCs w:val="24"/>
        </w:rPr>
        <w:t>同质化竞争。</w:t>
      </w:r>
      <w:r>
        <w:rPr>
          <w:rFonts w:ascii="宋体" w:hAnsi="宋体" w:eastAsia="宋体" w:cs="宋体"/>
          <w:sz w:val="24"/>
          <w:szCs w:val="24"/>
        </w:rPr>
        <w:t xml:space="preserve"> 部分村寨的旅游产品雷同——都是看老房子、看地戏、吃屯堡菜，缺乏差异化特色。</w:t>
      </w:r>
    </w:p>
    <w:p w14:paraId="1225DF86">
      <w:pPr>
        <w:spacing w:after="120" w:line="360" w:lineRule="auto"/>
        <w:jc w:val="both"/>
      </w:pPr>
      <w:r>
        <w:rPr>
          <w:rFonts w:ascii="宋体" w:hAnsi="宋体" w:eastAsia="宋体" w:cs="宋体"/>
          <w:b/>
          <w:bCs/>
          <w:sz w:val="24"/>
          <w:szCs w:val="24"/>
        </w:rPr>
        <w:t>过度商业化。</w:t>
      </w:r>
      <w:r>
        <w:rPr>
          <w:rFonts w:ascii="宋体" w:hAnsi="宋体" w:eastAsia="宋体" w:cs="宋体"/>
          <w:sz w:val="24"/>
          <w:szCs w:val="24"/>
        </w:rPr>
        <w:t xml:space="preserve"> 个别村寨商业气息过重，冲淡了文化遗产的原真性。</w:t>
      </w:r>
    </w:p>
    <w:p w14:paraId="7E257DF0">
      <w:pPr>
        <w:spacing w:after="120" w:line="360" w:lineRule="auto"/>
        <w:jc w:val="both"/>
      </w:pPr>
      <w:r>
        <w:rPr>
          <w:rFonts w:ascii="宋体" w:hAnsi="宋体" w:eastAsia="宋体" w:cs="宋体"/>
          <w:b/>
          <w:bCs/>
          <w:sz w:val="24"/>
          <w:szCs w:val="24"/>
        </w:rPr>
        <w:t>社区获益不均。</w:t>
      </w:r>
      <w:r>
        <w:rPr>
          <w:rFonts w:ascii="宋体" w:hAnsi="宋体" w:eastAsia="宋体" w:cs="宋体"/>
          <w:sz w:val="24"/>
          <w:szCs w:val="24"/>
        </w:rPr>
        <w:t xml:space="preserve"> 旅游收益主要集中在少数经营者手中，普通村民从旅游中获益有限。</w:t>
      </w:r>
    </w:p>
    <w:p w14:paraId="587031CC">
      <w:pPr>
        <w:spacing w:after="120" w:line="360" w:lineRule="auto"/>
        <w:jc w:val="both"/>
      </w:pPr>
      <w:r>
        <w:rPr>
          <w:rFonts w:ascii="宋体" w:hAnsi="宋体" w:eastAsia="宋体" w:cs="宋体"/>
          <w:b/>
          <w:bCs/>
          <w:sz w:val="24"/>
          <w:szCs w:val="24"/>
        </w:rPr>
        <w:t>游客承载压力。</w:t>
      </w:r>
      <w:r>
        <w:rPr>
          <w:rFonts w:ascii="宋体" w:hAnsi="宋体" w:eastAsia="宋体" w:cs="宋体"/>
          <w:sz w:val="24"/>
          <w:szCs w:val="24"/>
        </w:rPr>
        <w:t xml:space="preserve"> 旺季时部分村寨游客过多，对古建筑保护和居民生活造成影响。</w:t>
      </w:r>
    </w:p>
    <w:p w14:paraId="1CBBC383">
      <w:pPr>
        <w:spacing w:after="120" w:line="360" w:lineRule="auto"/>
        <w:jc w:val="both"/>
      </w:pPr>
      <w:r>
        <w:rPr>
          <w:rFonts w:ascii="宋体" w:hAnsi="宋体" w:eastAsia="宋体" w:cs="宋体"/>
          <w:b/>
          <w:bCs/>
          <w:sz w:val="24"/>
          <w:szCs w:val="24"/>
        </w:rPr>
        <w:t>文化传承断裂。</w:t>
      </w:r>
      <w:r>
        <w:rPr>
          <w:rFonts w:ascii="宋体" w:hAnsi="宋体" w:eastAsia="宋体" w:cs="宋体"/>
          <w:sz w:val="24"/>
          <w:szCs w:val="24"/>
        </w:rPr>
        <w:t xml:space="preserve"> 年轻一代外出务工，部分传统技艺面临传承人断层的危机。</w:t>
      </w:r>
    </w:p>
    <w:p w14:paraId="74547065">
      <w:pPr>
        <w:pStyle w:val="3"/>
        <w:spacing w:before="300" w:after="200"/>
      </w:pPr>
      <w:bookmarkStart w:id="233" w:name="_Toc25661"/>
      <w:r>
        <w:rPr>
          <w:rFonts w:ascii="黑体" w:hAnsi="黑体" w:eastAsia="黑体" w:cs="黑体"/>
          <w:b/>
          <w:bCs/>
          <w:color w:val="000000"/>
          <w:sz w:val="28"/>
          <w:szCs w:val="28"/>
        </w:rPr>
        <w:t>8.4 屯堡文化旅游活化的策略框架</w:t>
      </w:r>
      <w:bookmarkEnd w:id="233"/>
    </w:p>
    <w:p w14:paraId="07F2EF5B">
      <w:pPr>
        <w:pStyle w:val="4"/>
        <w:spacing w:before="300" w:after="200"/>
      </w:pPr>
      <w:bookmarkStart w:id="234" w:name="_Toc31869"/>
      <w:r>
        <w:rPr>
          <w:rFonts w:ascii="黑体" w:hAnsi="黑体" w:eastAsia="黑体" w:cs="黑体"/>
          <w:b/>
          <w:bCs/>
          <w:color w:val="000000"/>
          <w:sz w:val="26"/>
          <w:szCs w:val="26"/>
        </w:rPr>
        <w:t>8.4.1 "一村一品"差异化定位</w:t>
      </w:r>
      <w:bookmarkEnd w:id="234"/>
    </w:p>
    <w:p w14:paraId="6C2110B5">
      <w:pPr>
        <w:spacing w:after="120" w:line="360" w:lineRule="auto"/>
        <w:jc w:val="both"/>
      </w:pPr>
      <w:r>
        <w:rPr>
          <w:rFonts w:ascii="宋体" w:hAnsi="宋体" w:eastAsia="宋体" w:cs="宋体"/>
          <w:sz w:val="24"/>
          <w:szCs w:val="24"/>
        </w:rPr>
        <w:t>屯堡各核心村寨应基于自身资源禀赋，形成差异化定位：</w:t>
      </w:r>
    </w:p>
    <w:p w14:paraId="58AFADCE">
      <w:pPr>
        <w:spacing w:after="120" w:line="360" w:lineRule="auto"/>
        <w:jc w:val="both"/>
      </w:pPr>
      <w:r>
        <w:rPr>
          <w:rFonts w:ascii="宋体" w:hAnsi="宋体" w:eastAsia="宋体" w:cs="宋体"/>
          <w:b/>
          <w:bCs/>
          <w:sz w:val="24"/>
          <w:szCs w:val="24"/>
        </w:rPr>
        <w:t>天龙屯堡——屯堡文化展示门户。</w:t>
      </w:r>
      <w:r>
        <w:rPr>
          <w:rFonts w:ascii="宋体" w:hAnsi="宋体" w:eastAsia="宋体" w:cs="宋体"/>
          <w:sz w:val="24"/>
          <w:szCs w:val="24"/>
        </w:rPr>
        <w:t xml:space="preserve"> 依托成熟的旅游基础设施，作为屯堡文化旅游的"第一站"，承担文化展示和游客集散功能。</w:t>
      </w:r>
    </w:p>
    <w:p w14:paraId="731347BF">
      <w:pPr>
        <w:spacing w:after="120" w:line="360" w:lineRule="auto"/>
        <w:jc w:val="both"/>
      </w:pPr>
      <w:r>
        <w:rPr>
          <w:rFonts w:ascii="宋体" w:hAnsi="宋体" w:eastAsia="宋体" w:cs="宋体"/>
          <w:b/>
          <w:bCs/>
          <w:sz w:val="24"/>
          <w:szCs w:val="24"/>
        </w:rPr>
        <w:t>本寨——屯堡建筑博物馆。</w:t>
      </w:r>
      <w:r>
        <w:rPr>
          <w:rFonts w:ascii="宋体" w:hAnsi="宋体" w:eastAsia="宋体" w:cs="宋体"/>
          <w:sz w:val="24"/>
          <w:szCs w:val="24"/>
        </w:rPr>
        <w:t xml:space="preserve"> 以保存最完好的屯堡民居建筑群为核心吸引力，打造"露天建筑博物馆"。</w:t>
      </w:r>
    </w:p>
    <w:p w14:paraId="53D41ED5">
      <w:pPr>
        <w:spacing w:after="120" w:line="360" w:lineRule="auto"/>
        <w:jc w:val="both"/>
      </w:pPr>
      <w:r>
        <w:rPr>
          <w:rFonts w:ascii="宋体" w:hAnsi="宋体" w:eastAsia="宋体" w:cs="宋体"/>
          <w:b/>
          <w:bCs/>
          <w:sz w:val="24"/>
          <w:szCs w:val="24"/>
        </w:rPr>
        <w:t>云山屯——山居文化体验地。</w:t>
      </w:r>
      <w:r>
        <w:rPr>
          <w:rFonts w:ascii="宋体" w:hAnsi="宋体" w:eastAsia="宋体" w:cs="宋体"/>
          <w:sz w:val="24"/>
          <w:szCs w:val="24"/>
        </w:rPr>
        <w:t xml:space="preserve"> 依托独特的山势环境和古驿道资源，发展徒步、露营、山居体验。</w:t>
      </w:r>
    </w:p>
    <w:p w14:paraId="2A14AF7B">
      <w:pPr>
        <w:spacing w:after="120" w:line="360" w:lineRule="auto"/>
        <w:jc w:val="both"/>
      </w:pPr>
      <w:r>
        <w:rPr>
          <w:rFonts w:ascii="宋体" w:hAnsi="宋体" w:eastAsia="宋体" w:cs="宋体"/>
          <w:b/>
          <w:bCs/>
          <w:sz w:val="24"/>
          <w:szCs w:val="24"/>
        </w:rPr>
        <w:t>鲍家屯——农业文化遗产示范区。</w:t>
      </w:r>
      <w:r>
        <w:rPr>
          <w:rFonts w:ascii="宋体" w:hAnsi="宋体" w:eastAsia="宋体" w:cs="宋体"/>
          <w:sz w:val="24"/>
          <w:szCs w:val="24"/>
        </w:rPr>
        <w:t xml:space="preserve"> 以古水利系统和稻作文化为核心，发展研学旅游和生态农业体验。</w:t>
      </w:r>
    </w:p>
    <w:p w14:paraId="2EDE9C38">
      <w:pPr>
        <w:spacing w:after="120" w:line="360" w:lineRule="auto"/>
        <w:jc w:val="both"/>
      </w:pPr>
      <w:r>
        <w:rPr>
          <w:rFonts w:ascii="宋体" w:hAnsi="宋体" w:eastAsia="宋体" w:cs="宋体"/>
          <w:b/>
          <w:bCs/>
          <w:sz w:val="24"/>
          <w:szCs w:val="24"/>
        </w:rPr>
        <w:t>旧州古镇——多元文化交融展示区。</w:t>
      </w:r>
      <w:r>
        <w:rPr>
          <w:rFonts w:ascii="宋体" w:hAnsi="宋体" w:eastAsia="宋体" w:cs="宋体"/>
          <w:sz w:val="24"/>
          <w:szCs w:val="24"/>
        </w:rPr>
        <w:t xml:space="preserve"> 突出屯堡文化与少数民族文化交融的特色，发展民族风情体验。</w:t>
      </w:r>
    </w:p>
    <w:p w14:paraId="2D431C3B">
      <w:pPr>
        <w:pStyle w:val="4"/>
        <w:spacing w:before="300" w:after="200"/>
      </w:pPr>
      <w:bookmarkStart w:id="235" w:name="_Toc21445"/>
      <w:r>
        <w:rPr>
          <w:rFonts w:ascii="黑体" w:hAnsi="黑体" w:eastAsia="黑体" w:cs="黑体"/>
          <w:b/>
          <w:bCs/>
          <w:color w:val="000000"/>
          <w:sz w:val="26"/>
          <w:szCs w:val="26"/>
        </w:rPr>
        <w:t>8.4.2 产品体系设计</w:t>
      </w:r>
      <w:bookmarkEnd w:id="235"/>
    </w:p>
    <w:p w14:paraId="2D684BE1">
      <w:pPr>
        <w:spacing w:after="120" w:line="360" w:lineRule="auto"/>
        <w:jc w:val="both"/>
      </w:pPr>
      <w:r>
        <w:rPr>
          <w:rFonts w:ascii="宋体" w:hAnsi="宋体" w:eastAsia="宋体" w:cs="宋体"/>
          <w:sz w:val="24"/>
          <w:szCs w:val="24"/>
        </w:rPr>
        <w:t>构建"核心产品+辅助产品+延伸产品"的三层产品体系：</w:t>
      </w:r>
    </w:p>
    <w:p w14:paraId="4348E280">
      <w:pPr>
        <w:spacing w:after="120" w:line="360" w:lineRule="auto"/>
        <w:jc w:val="both"/>
      </w:pPr>
      <w:r>
        <w:rPr>
          <w:rFonts w:ascii="宋体" w:hAnsi="宋体" w:eastAsia="宋体" w:cs="宋体"/>
          <w:b/>
          <w:bCs/>
          <w:sz w:val="24"/>
          <w:szCs w:val="24"/>
        </w:rPr>
        <w:t>核心产品。</w:t>
      </w:r>
      <w:r>
        <w:rPr>
          <w:rFonts w:ascii="宋体" w:hAnsi="宋体" w:eastAsia="宋体" w:cs="宋体"/>
          <w:sz w:val="24"/>
          <w:szCs w:val="24"/>
        </w:rPr>
        <w:t xml:space="preserve"> 文化遗产深度体验——古建筑导览（含建筑知识讲解）、地戏观赏与互动体验（学唱地戏、画面具脸谱）、传统手工艺体验（服饰制作、面具雕刻）、民俗节庆参与（"抬汪公"、跳花灯）。</w:t>
      </w:r>
    </w:p>
    <w:p w14:paraId="5F913838">
      <w:pPr>
        <w:spacing w:after="120" w:line="360" w:lineRule="auto"/>
        <w:jc w:val="both"/>
      </w:pPr>
      <w:r>
        <w:rPr>
          <w:rFonts w:ascii="宋体" w:hAnsi="宋体" w:eastAsia="宋体" w:cs="宋体"/>
          <w:b/>
          <w:bCs/>
          <w:sz w:val="24"/>
          <w:szCs w:val="24"/>
        </w:rPr>
        <w:t>辅助产品。</w:t>
      </w:r>
      <w:r>
        <w:rPr>
          <w:rFonts w:ascii="宋体" w:hAnsi="宋体" w:eastAsia="宋体" w:cs="宋体"/>
          <w:sz w:val="24"/>
          <w:szCs w:val="24"/>
        </w:rPr>
        <w:t xml:space="preserve"> 旅游配套服务——屯堡特色餐饮、精品民宿（老宅改造）、研学课程（面向大中小学生）、摄影与写生服务。</w:t>
      </w:r>
    </w:p>
    <w:p w14:paraId="7986441F">
      <w:pPr>
        <w:spacing w:after="120" w:line="360" w:lineRule="auto"/>
        <w:jc w:val="both"/>
      </w:pPr>
      <w:r>
        <w:rPr>
          <w:rFonts w:ascii="宋体" w:hAnsi="宋体" w:eastAsia="宋体" w:cs="宋体"/>
          <w:b/>
          <w:bCs/>
          <w:sz w:val="24"/>
          <w:szCs w:val="24"/>
        </w:rPr>
        <w:t>延伸产品。</w:t>
      </w:r>
      <w:r>
        <w:rPr>
          <w:rFonts w:ascii="宋体" w:hAnsi="宋体" w:eastAsia="宋体" w:cs="宋体"/>
          <w:sz w:val="24"/>
          <w:szCs w:val="24"/>
        </w:rPr>
        <w:t xml:space="preserve"> 文化创意产品——地戏面具系列文创、凤阳汉装元素时尚单品、屯堡建筑主题文具和家居用品、数字文创（NFT、AI生成艺术品）。</w:t>
      </w:r>
    </w:p>
    <w:p w14:paraId="01EFBF98">
      <w:pPr>
        <w:pStyle w:val="4"/>
        <w:spacing w:before="300" w:after="200"/>
      </w:pPr>
      <w:bookmarkStart w:id="236" w:name="_Toc197"/>
      <w:r>
        <w:rPr>
          <w:rFonts w:ascii="黑体" w:hAnsi="黑体" w:eastAsia="黑体" w:cs="黑体"/>
          <w:b/>
          <w:bCs/>
          <w:color w:val="000000"/>
          <w:sz w:val="26"/>
          <w:szCs w:val="26"/>
        </w:rPr>
        <w:t>8.4.3 游客体验设计</w:t>
      </w:r>
      <w:bookmarkEnd w:id="236"/>
    </w:p>
    <w:p w14:paraId="0049578A">
      <w:pPr>
        <w:spacing w:after="120" w:line="360" w:lineRule="auto"/>
        <w:jc w:val="both"/>
      </w:pPr>
      <w:r>
        <w:rPr>
          <w:rFonts w:ascii="宋体" w:hAnsi="宋体" w:eastAsia="宋体" w:cs="宋体"/>
          <w:sz w:val="24"/>
          <w:szCs w:val="24"/>
        </w:rPr>
        <w:t>借鉴体验经济理论，从五个维度设计游客体验：</w:t>
      </w:r>
    </w:p>
    <w:p w14:paraId="1B1B1D90">
      <w:pPr>
        <w:spacing w:after="120" w:line="360" w:lineRule="auto"/>
        <w:jc w:val="both"/>
      </w:pPr>
      <w:r>
        <w:rPr>
          <w:rFonts w:ascii="宋体" w:hAnsi="宋体" w:eastAsia="宋体" w:cs="宋体"/>
          <w:b/>
          <w:bCs/>
          <w:sz w:val="24"/>
          <w:szCs w:val="24"/>
        </w:rPr>
        <w:t>感官体验。</w:t>
      </w:r>
      <w:r>
        <w:rPr>
          <w:rFonts w:ascii="宋体" w:hAnsi="宋体" w:eastAsia="宋体" w:cs="宋体"/>
          <w:sz w:val="24"/>
          <w:szCs w:val="24"/>
        </w:rPr>
        <w:t xml:space="preserve"> 看——古建筑、地戏表演、凤阳汉装；听——地戏锣鼓、屯堡话、石板路上的脚步声；闻——松柏熏腊肉的香气、老木头的气味；触——石墙的质感、木雕的纹理；尝——八大碗、鸡辣子、糟辣椒。</w:t>
      </w:r>
    </w:p>
    <w:p w14:paraId="648C2A37">
      <w:pPr>
        <w:spacing w:after="120" w:line="360" w:lineRule="auto"/>
        <w:jc w:val="both"/>
      </w:pPr>
      <w:r>
        <w:rPr>
          <w:rFonts w:ascii="宋体" w:hAnsi="宋体" w:eastAsia="宋体" w:cs="宋体"/>
          <w:b/>
          <w:bCs/>
          <w:sz w:val="24"/>
          <w:szCs w:val="24"/>
        </w:rPr>
        <w:t>情感体验。</w:t>
      </w:r>
      <w:r>
        <w:rPr>
          <w:rFonts w:ascii="宋体" w:hAnsi="宋体" w:eastAsia="宋体" w:cs="宋体"/>
          <w:sz w:val="24"/>
          <w:szCs w:val="24"/>
        </w:rPr>
        <w:t xml:space="preserve"> 通过故事化导览（讲述屯堡家族的历史故事）、仪式化体验（参加"抬汪公"仪式）、角色扮演（穿凤阳汉装、学地戏身段）激发游客的情感共鸣。</w:t>
      </w:r>
    </w:p>
    <w:p w14:paraId="7BA4E240">
      <w:pPr>
        <w:spacing w:after="120" w:line="360" w:lineRule="auto"/>
        <w:jc w:val="both"/>
      </w:pPr>
      <w:r>
        <w:rPr>
          <w:rFonts w:ascii="宋体" w:hAnsi="宋体" w:eastAsia="宋体" w:cs="宋体"/>
          <w:b/>
          <w:bCs/>
          <w:sz w:val="24"/>
          <w:szCs w:val="24"/>
        </w:rPr>
        <w:t>思考体验。</w:t>
      </w:r>
      <w:r>
        <w:rPr>
          <w:rFonts w:ascii="宋体" w:hAnsi="宋体" w:eastAsia="宋体" w:cs="宋体"/>
          <w:sz w:val="24"/>
          <w:szCs w:val="24"/>
        </w:rPr>
        <w:t xml:space="preserve"> 通过知识性内容（建筑结构解析、水利工程原理）和启发性问题（文化遗产保护的困境）引发游客的思考和讨论。</w:t>
      </w:r>
    </w:p>
    <w:p w14:paraId="737EEE4E">
      <w:pPr>
        <w:spacing w:after="120" w:line="360" w:lineRule="auto"/>
        <w:jc w:val="both"/>
      </w:pPr>
      <w:r>
        <w:rPr>
          <w:rFonts w:ascii="宋体" w:hAnsi="宋体" w:eastAsia="宋体" w:cs="宋体"/>
          <w:b/>
          <w:bCs/>
          <w:sz w:val="24"/>
          <w:szCs w:val="24"/>
        </w:rPr>
        <w:t>行动体验。</w:t>
      </w:r>
      <w:r>
        <w:rPr>
          <w:rFonts w:ascii="宋体" w:hAnsi="宋体" w:eastAsia="宋体" w:cs="宋体"/>
          <w:sz w:val="24"/>
          <w:szCs w:val="24"/>
        </w:rPr>
        <w:t xml:space="preserve"> 通过参与性活动（画面具、做糍粑、学地戏）和身体性挑战（徒步古驿道）让游客"动起来"。</w:t>
      </w:r>
    </w:p>
    <w:p w14:paraId="05B2C74C">
      <w:pPr>
        <w:spacing w:after="120" w:line="360" w:lineRule="auto"/>
        <w:jc w:val="both"/>
      </w:pPr>
      <w:r>
        <w:rPr>
          <w:rFonts w:ascii="宋体" w:hAnsi="宋体" w:eastAsia="宋体" w:cs="宋体"/>
          <w:b/>
          <w:bCs/>
          <w:sz w:val="24"/>
          <w:szCs w:val="24"/>
        </w:rPr>
        <w:t>关联体验。</w:t>
      </w:r>
      <w:r>
        <w:rPr>
          <w:rFonts w:ascii="宋体" w:hAnsi="宋体" w:eastAsia="宋体" w:cs="宋体"/>
          <w:sz w:val="24"/>
          <w:szCs w:val="24"/>
        </w:rPr>
        <w:t xml:space="preserve"> 通过社群互动（与村民交流、与同游者分享）和文化认同（"我也是屯堡文化传承的一份子"）建立游客与屯堡的深层联结。</w:t>
      </w:r>
    </w:p>
    <w:p w14:paraId="6CC58360">
      <w:pPr>
        <w:pStyle w:val="4"/>
        <w:spacing w:before="300" w:after="200"/>
      </w:pPr>
      <w:bookmarkStart w:id="237" w:name="_Toc26732"/>
      <w:r>
        <w:rPr>
          <w:rFonts w:ascii="黑体" w:hAnsi="黑体" w:eastAsia="黑体" w:cs="黑体"/>
          <w:b/>
          <w:bCs/>
          <w:color w:val="000000"/>
          <w:sz w:val="26"/>
          <w:szCs w:val="26"/>
        </w:rPr>
        <w:t>8.4.4 社区参与机制</w:t>
      </w:r>
      <w:bookmarkEnd w:id="237"/>
    </w:p>
    <w:p w14:paraId="38C0B857">
      <w:pPr>
        <w:spacing w:after="120" w:line="360" w:lineRule="auto"/>
        <w:jc w:val="both"/>
      </w:pPr>
      <w:r>
        <w:rPr>
          <w:rFonts w:ascii="宋体" w:hAnsi="宋体" w:eastAsia="宋体" w:cs="宋体"/>
          <w:sz w:val="24"/>
          <w:szCs w:val="24"/>
        </w:rPr>
        <w:t>确保社区从旅游活化中真正获益：</w:t>
      </w:r>
    </w:p>
    <w:p w14:paraId="4DDE0143">
      <w:pPr>
        <w:spacing w:after="120" w:line="360" w:lineRule="auto"/>
        <w:jc w:val="both"/>
      </w:pPr>
      <w:r>
        <w:rPr>
          <w:rFonts w:ascii="宋体" w:hAnsi="宋体" w:eastAsia="宋体" w:cs="宋体"/>
          <w:b/>
          <w:bCs/>
          <w:sz w:val="24"/>
          <w:szCs w:val="24"/>
        </w:rPr>
        <w:t>参与决策。</w:t>
      </w:r>
      <w:r>
        <w:rPr>
          <w:rFonts w:ascii="宋体" w:hAnsi="宋体" w:eastAsia="宋体" w:cs="宋体"/>
          <w:sz w:val="24"/>
          <w:szCs w:val="24"/>
        </w:rPr>
        <w:t xml:space="preserve"> 重大旅游开发决策须经村民代表大会讨论通过。</w:t>
      </w:r>
    </w:p>
    <w:p w14:paraId="22DB3849">
      <w:pPr>
        <w:spacing w:after="120" w:line="360" w:lineRule="auto"/>
        <w:jc w:val="both"/>
      </w:pPr>
      <w:r>
        <w:rPr>
          <w:rFonts w:ascii="宋体" w:hAnsi="宋体" w:eastAsia="宋体" w:cs="宋体"/>
          <w:b/>
          <w:bCs/>
          <w:sz w:val="24"/>
          <w:szCs w:val="24"/>
        </w:rPr>
        <w:t>参与经营。</w:t>
      </w:r>
      <w:r>
        <w:rPr>
          <w:rFonts w:ascii="宋体" w:hAnsi="宋体" w:eastAsia="宋体" w:cs="宋体"/>
          <w:sz w:val="24"/>
          <w:szCs w:val="24"/>
        </w:rPr>
        <w:t xml:space="preserve"> 鼓励村民以房屋、技艺、劳动力入股旅游合作社，分享旅游收益。</w:t>
      </w:r>
    </w:p>
    <w:p w14:paraId="44435FBB">
      <w:pPr>
        <w:spacing w:after="120" w:line="360" w:lineRule="auto"/>
        <w:jc w:val="both"/>
      </w:pPr>
      <w:r>
        <w:rPr>
          <w:rFonts w:ascii="宋体" w:hAnsi="宋体" w:eastAsia="宋体" w:cs="宋体"/>
          <w:b/>
          <w:bCs/>
          <w:sz w:val="24"/>
          <w:szCs w:val="24"/>
        </w:rPr>
        <w:t>参与服务。</w:t>
      </w:r>
      <w:r>
        <w:rPr>
          <w:rFonts w:ascii="宋体" w:hAnsi="宋体" w:eastAsia="宋体" w:cs="宋体"/>
          <w:sz w:val="24"/>
          <w:szCs w:val="24"/>
        </w:rPr>
        <w:t xml:space="preserve"> 优先聘用本地村民担任导游、讲解员、手工艺体验导师。</w:t>
      </w:r>
    </w:p>
    <w:p w14:paraId="58F707EA">
      <w:pPr>
        <w:spacing w:after="120" w:line="360" w:lineRule="auto"/>
        <w:jc w:val="both"/>
      </w:pPr>
      <w:r>
        <w:rPr>
          <w:rFonts w:ascii="宋体" w:hAnsi="宋体" w:eastAsia="宋体" w:cs="宋体"/>
          <w:b/>
          <w:bCs/>
          <w:sz w:val="24"/>
          <w:szCs w:val="24"/>
        </w:rPr>
        <w:t>参与保护。</w:t>
      </w:r>
      <w:r>
        <w:rPr>
          <w:rFonts w:ascii="宋体" w:hAnsi="宋体" w:eastAsia="宋体" w:cs="宋体"/>
          <w:sz w:val="24"/>
          <w:szCs w:val="24"/>
        </w:rPr>
        <w:t xml:space="preserve"> 建立"保护绩效奖励"制度，对自觉维护古建筑、传承传统技艺的村民给予奖励。</w:t>
      </w:r>
    </w:p>
    <w:p w14:paraId="75A3550D">
      <w:pPr>
        <w:pStyle w:val="3"/>
        <w:spacing w:before="300" w:after="200"/>
      </w:pPr>
      <w:bookmarkStart w:id="238" w:name="_Toc4081"/>
      <w:r>
        <w:rPr>
          <w:rFonts w:ascii="黑体" w:hAnsi="黑体" w:eastAsia="黑体" w:cs="黑体"/>
          <w:b/>
          <w:bCs/>
          <w:color w:val="000000"/>
          <w:sz w:val="28"/>
          <w:szCs w:val="28"/>
        </w:rPr>
        <w:t>8.5 评估与监测</w:t>
      </w:r>
      <w:bookmarkEnd w:id="238"/>
    </w:p>
    <w:p w14:paraId="205EB56E">
      <w:pPr>
        <w:pStyle w:val="4"/>
        <w:spacing w:before="300" w:after="200"/>
      </w:pPr>
      <w:bookmarkStart w:id="239" w:name="_Toc16041"/>
      <w:r>
        <w:rPr>
          <w:rFonts w:ascii="黑体" w:hAnsi="黑体" w:eastAsia="黑体" w:cs="黑体"/>
          <w:b/>
          <w:bCs/>
          <w:color w:val="000000"/>
          <w:sz w:val="26"/>
          <w:szCs w:val="26"/>
        </w:rPr>
        <w:t>8.5.1 旅游活化成效评估指标</w:t>
      </w:r>
      <w:bookmarkEnd w:id="239"/>
    </w:p>
    <w:p w14:paraId="5A229918">
      <w:pPr>
        <w:spacing w:after="120" w:line="360" w:lineRule="auto"/>
        <w:jc w:val="both"/>
      </w:pPr>
      <w:r>
        <w:rPr>
          <w:rFonts w:ascii="宋体" w:hAnsi="宋体" w:eastAsia="宋体" w:cs="宋体"/>
          <w:sz w:val="24"/>
          <w:szCs w:val="24"/>
        </w:rPr>
        <w:t>文化遗产旅游活化的成效不能仅用游客量和旅游收入来衡量，应建立多维评估指标体系：</w:t>
      </w:r>
    </w:p>
    <w:p w14:paraId="36BF9A7D">
      <w:pPr>
        <w:spacing w:after="120" w:line="360" w:lineRule="auto"/>
        <w:jc w:val="both"/>
      </w:pPr>
      <w:r>
        <w:rPr>
          <w:rFonts w:ascii="宋体" w:hAnsi="宋体" w:eastAsia="宋体" w:cs="宋体"/>
          <w:b/>
          <w:bCs/>
          <w:sz w:val="24"/>
          <w:szCs w:val="24"/>
        </w:rPr>
        <w:t>文化保护维度。</w:t>
      </w:r>
      <w:r>
        <w:rPr>
          <w:rFonts w:ascii="宋体" w:hAnsi="宋体" w:eastAsia="宋体" w:cs="宋体"/>
          <w:sz w:val="24"/>
          <w:szCs w:val="24"/>
        </w:rPr>
        <w:t xml:space="preserve"> 古建筑完好率、非遗项目传承人数变化、传统技艺传承状况。</w:t>
      </w:r>
    </w:p>
    <w:p w14:paraId="5DD90366">
      <w:pPr>
        <w:spacing w:after="120" w:line="360" w:lineRule="auto"/>
        <w:jc w:val="both"/>
      </w:pPr>
      <w:r>
        <w:rPr>
          <w:rFonts w:ascii="宋体" w:hAnsi="宋体" w:eastAsia="宋体" w:cs="宋体"/>
          <w:b/>
          <w:bCs/>
          <w:sz w:val="24"/>
          <w:szCs w:val="24"/>
        </w:rPr>
        <w:t>经济效益维度。</w:t>
      </w:r>
      <w:r>
        <w:rPr>
          <w:rFonts w:ascii="宋体" w:hAnsi="宋体" w:eastAsia="宋体" w:cs="宋体"/>
          <w:sz w:val="24"/>
          <w:szCs w:val="24"/>
        </w:rPr>
        <w:t xml:space="preserve"> 旅游总收入、村民人均旅游收入、旅游就业人数。</w:t>
      </w:r>
    </w:p>
    <w:p w14:paraId="7066BF17">
      <w:pPr>
        <w:spacing w:after="120" w:line="360" w:lineRule="auto"/>
        <w:jc w:val="both"/>
      </w:pPr>
      <w:r>
        <w:rPr>
          <w:rFonts w:ascii="宋体" w:hAnsi="宋体" w:eastAsia="宋体" w:cs="宋体"/>
          <w:b/>
          <w:bCs/>
          <w:sz w:val="24"/>
          <w:szCs w:val="24"/>
        </w:rPr>
        <w:t>社会效益维度。</w:t>
      </w:r>
      <w:r>
        <w:rPr>
          <w:rFonts w:ascii="宋体" w:hAnsi="宋体" w:eastAsia="宋体" w:cs="宋体"/>
          <w:sz w:val="24"/>
          <w:szCs w:val="24"/>
        </w:rPr>
        <w:t xml:space="preserve"> 村民文化自豪感、社区凝聚力、外出务工人员返乡率。</w:t>
      </w:r>
    </w:p>
    <w:p w14:paraId="4FFF4E52">
      <w:pPr>
        <w:spacing w:after="120" w:line="360" w:lineRule="auto"/>
        <w:jc w:val="both"/>
      </w:pPr>
      <w:r>
        <w:rPr>
          <w:rFonts w:ascii="宋体" w:hAnsi="宋体" w:eastAsia="宋体" w:cs="宋体"/>
          <w:b/>
          <w:bCs/>
          <w:sz w:val="24"/>
          <w:szCs w:val="24"/>
        </w:rPr>
        <w:t>游客体验维度。</w:t>
      </w:r>
      <w:r>
        <w:rPr>
          <w:rFonts w:ascii="宋体" w:hAnsi="宋体" w:eastAsia="宋体" w:cs="宋体"/>
          <w:sz w:val="24"/>
          <w:szCs w:val="24"/>
        </w:rPr>
        <w:t xml:space="preserve"> 游客满意度、重游意愿、推荐意愿。</w:t>
      </w:r>
    </w:p>
    <w:p w14:paraId="7DF59D6B">
      <w:pPr>
        <w:spacing w:after="120" w:line="360" w:lineRule="auto"/>
        <w:jc w:val="both"/>
      </w:pPr>
      <w:r>
        <w:rPr>
          <w:rFonts w:ascii="宋体" w:hAnsi="宋体" w:eastAsia="宋体" w:cs="宋体"/>
          <w:b/>
          <w:bCs/>
          <w:sz w:val="24"/>
          <w:szCs w:val="24"/>
        </w:rPr>
        <w:t>环境影响维度。</w:t>
      </w:r>
      <w:r>
        <w:rPr>
          <w:rFonts w:ascii="宋体" w:hAnsi="宋体" w:eastAsia="宋体" w:cs="宋体"/>
          <w:sz w:val="24"/>
          <w:szCs w:val="24"/>
        </w:rPr>
        <w:t xml:space="preserve"> 游客密度（旺季日游客量/村寨承载量）、垃圾产生量、碳排放量。</w:t>
      </w:r>
    </w:p>
    <w:p w14:paraId="1F398BB7">
      <w:pPr>
        <w:pStyle w:val="4"/>
        <w:spacing w:before="300" w:after="200"/>
      </w:pPr>
      <w:bookmarkStart w:id="240" w:name="_Toc16540"/>
      <w:r>
        <w:rPr>
          <w:rFonts w:ascii="黑体" w:hAnsi="黑体" w:eastAsia="黑体" w:cs="黑体"/>
          <w:b/>
          <w:bCs/>
          <w:color w:val="000000"/>
          <w:sz w:val="26"/>
          <w:szCs w:val="26"/>
        </w:rPr>
        <w:t>8.5.2 动态监测与预警</w:t>
      </w:r>
      <w:bookmarkEnd w:id="240"/>
    </w:p>
    <w:p w14:paraId="12E4F091">
      <w:pPr>
        <w:spacing w:after="120" w:line="360" w:lineRule="auto"/>
        <w:jc w:val="both"/>
      </w:pPr>
      <w:r>
        <w:rPr>
          <w:rFonts w:ascii="宋体" w:hAnsi="宋体" w:eastAsia="宋体" w:cs="宋体"/>
          <w:sz w:val="24"/>
          <w:szCs w:val="24"/>
        </w:rPr>
        <w:t>建立旅游活化动态监测系统，设置预警阈值。当某项指标超过阈值时，自动触发预警并启动应对措施。例如，当某村寨旺季日游客量超过承载量的80%时，启动限流措施；当某项非遗传承人数降至3人以下时，启动紧急抢救性保护。</w:t>
      </w:r>
    </w:p>
    <w:p w14:paraId="516B4A9D">
      <w:pPr>
        <w:pStyle w:val="3"/>
        <w:spacing w:before="300" w:after="200"/>
      </w:pPr>
      <w:bookmarkStart w:id="241" w:name="_Toc22176"/>
      <w:r>
        <w:rPr>
          <w:rFonts w:ascii="黑体" w:hAnsi="黑体" w:eastAsia="黑体" w:cs="黑体"/>
          <w:b/>
          <w:bCs/>
          <w:color w:val="000000"/>
          <w:sz w:val="28"/>
          <w:szCs w:val="28"/>
        </w:rPr>
        <w:t>本章小结</w:t>
      </w:r>
      <w:bookmarkEnd w:id="241"/>
    </w:p>
    <w:p w14:paraId="597CB11D">
      <w:pPr>
        <w:spacing w:after="120" w:line="360" w:lineRule="auto"/>
        <w:jc w:val="both"/>
      </w:pPr>
      <w:r>
        <w:rPr>
          <w:rFonts w:ascii="宋体" w:hAnsi="宋体" w:eastAsia="宋体" w:cs="宋体"/>
          <w:sz w:val="24"/>
          <w:szCs w:val="24"/>
        </w:rPr>
        <w:t>文化遗产"活化"是让文化遗产在当代社会中重新发挥功能、创造价值的过程。旅游活化主要有博物馆化、景区化、社区化、数字化和融合五种模式。屯堡文化旅游经历了探索期、调整期和提质期三个阶段，面临同质化竞争、过度商业化等挑战。未来应以"一村一品"差异化定位为基础，构建核心-辅助-延伸三层产品体系，从感官、情感、思考、行动、关联五个维度设计游客体验，建立社区参与和利益分享机制，并通过多维指标评估旅游活化的综合成效。</w:t>
      </w:r>
    </w:p>
    <w:p w14:paraId="06FE92CF">
      <w:pPr>
        <w:pStyle w:val="3"/>
        <w:spacing w:before="300" w:after="200"/>
      </w:pPr>
      <w:bookmarkStart w:id="242" w:name="_Toc11885"/>
      <w:r>
        <w:rPr>
          <w:rFonts w:ascii="黑体" w:hAnsi="黑体" w:eastAsia="黑体" w:cs="黑体"/>
          <w:b/>
          <w:bCs/>
          <w:color w:val="000000"/>
          <w:sz w:val="28"/>
          <w:szCs w:val="28"/>
        </w:rPr>
        <w:t>思考与练习</w:t>
      </w:r>
      <w:bookmarkEnd w:id="242"/>
    </w:p>
    <w:p w14:paraId="0238C898">
      <w:pPr>
        <w:pStyle w:val="19"/>
        <w:numPr>
          <w:ilvl w:val="0"/>
          <w:numId w:val="2"/>
        </w:numPr>
        <w:spacing w:after="60" w:line="340" w:lineRule="auto"/>
      </w:pPr>
      <w:r>
        <w:rPr>
          <w:rFonts w:ascii="宋体" w:hAnsi="宋体" w:eastAsia="宋体" w:cs="宋体"/>
          <w:sz w:val="24"/>
          <w:szCs w:val="24"/>
        </w:rPr>
        <w:t>运用体验经济理论，为天龙屯堡设计一套完整的游客体验方案。</w:t>
      </w:r>
    </w:p>
    <w:p w14:paraId="70892C6A">
      <w:pPr>
        <w:pStyle w:val="19"/>
        <w:numPr>
          <w:ilvl w:val="0"/>
          <w:numId w:val="2"/>
        </w:numPr>
        <w:spacing w:after="60" w:line="340" w:lineRule="auto"/>
      </w:pPr>
      <w:r>
        <w:rPr>
          <w:rFonts w:ascii="宋体" w:hAnsi="宋体" w:eastAsia="宋体" w:cs="宋体"/>
          <w:sz w:val="24"/>
          <w:szCs w:val="24"/>
        </w:rPr>
        <w:t>分析屯堡各核心村寨的资源禀赋，提出差异化发展建议。</w:t>
      </w:r>
    </w:p>
    <w:p w14:paraId="106F239D">
      <w:pPr>
        <w:pStyle w:val="19"/>
        <w:numPr>
          <w:ilvl w:val="0"/>
          <w:numId w:val="2"/>
        </w:numPr>
        <w:spacing w:after="60" w:line="340" w:lineRule="auto"/>
      </w:pPr>
      <w:r>
        <w:rPr>
          <w:rFonts w:ascii="宋体" w:hAnsi="宋体" w:eastAsia="宋体" w:cs="宋体"/>
          <w:sz w:val="24"/>
          <w:szCs w:val="24"/>
        </w:rPr>
        <w:t>设计一份屯堡文化旅游活化成效评估指标体系。</w:t>
      </w:r>
    </w:p>
    <w:p w14:paraId="24182F8B">
      <w:pPr>
        <w:pStyle w:val="19"/>
        <w:numPr>
          <w:ilvl w:val="0"/>
          <w:numId w:val="2"/>
        </w:numPr>
        <w:spacing w:after="60" w:line="340" w:lineRule="auto"/>
      </w:pPr>
      <w:r>
        <w:rPr>
          <w:rFonts w:ascii="宋体" w:hAnsi="宋体" w:eastAsia="宋体" w:cs="宋体"/>
          <w:sz w:val="24"/>
          <w:szCs w:val="24"/>
        </w:rPr>
        <w:t>讨论：文化遗产旅游活化中如何处理"保护"与"开发"的矛盾？</w:t>
      </w:r>
    </w:p>
    <w:p w14:paraId="78B2EAE7">
      <w:pPr>
        <w:pStyle w:val="19"/>
        <w:numPr>
          <w:ilvl w:val="0"/>
          <w:numId w:val="2"/>
        </w:numPr>
        <w:spacing w:after="60" w:line="340" w:lineRule="auto"/>
      </w:pPr>
      <w:r>
        <w:rPr>
          <w:rFonts w:ascii="宋体" w:hAnsi="宋体" w:eastAsia="宋体" w:cs="宋体"/>
          <w:sz w:val="24"/>
          <w:szCs w:val="24"/>
        </w:rPr>
        <w:t>调查一个你熟悉的文化遗产地，分析其旅游活化模式的优势和不足。</w:t>
      </w:r>
    </w:p>
    <w:p w14:paraId="4C9DBE9E">
      <w:pPr>
        <w:pStyle w:val="3"/>
        <w:spacing w:before="300" w:after="200"/>
      </w:pPr>
      <w:bookmarkStart w:id="243" w:name="_Toc20776"/>
      <w:r>
        <w:rPr>
          <w:rFonts w:ascii="黑体" w:hAnsi="黑体" w:eastAsia="黑体" w:cs="黑体"/>
          <w:b/>
          <w:bCs/>
          <w:color w:val="000000"/>
          <w:sz w:val="28"/>
          <w:szCs w:val="28"/>
        </w:rPr>
        <w:t>知识卡片：旅游活化模式对比</w:t>
      </w:r>
      <w:bookmarkEnd w:id="24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688A5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E3512BE">
            <w:pPr>
              <w:spacing w:after="0"/>
            </w:pPr>
            <w:r>
              <w:rPr>
                <w:rFonts w:ascii="宋体" w:hAnsi="宋体" w:eastAsia="宋体" w:cs="宋体"/>
                <w:b/>
                <w:bCs/>
                <w:color w:val="FFFFFF"/>
                <w:sz w:val="20"/>
                <w:szCs w:val="20"/>
              </w:rPr>
              <w:t>模式</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F9476DE">
            <w:pPr>
              <w:spacing w:after="0"/>
            </w:pPr>
            <w:r>
              <w:rPr>
                <w:rFonts w:ascii="宋体" w:hAnsi="宋体" w:eastAsia="宋体" w:cs="宋体"/>
                <w:b/>
                <w:bCs/>
                <w:color w:val="FFFFFF"/>
                <w:sz w:val="20"/>
                <w:szCs w:val="20"/>
              </w:rPr>
              <w:t>核心特征</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36A3E5E">
            <w:pPr>
              <w:spacing w:after="0"/>
            </w:pPr>
            <w:r>
              <w:rPr>
                <w:rFonts w:ascii="宋体" w:hAnsi="宋体" w:eastAsia="宋体" w:cs="宋体"/>
                <w:b/>
                <w:bCs/>
                <w:color w:val="FFFFFF"/>
                <w:sz w:val="20"/>
                <w:szCs w:val="20"/>
              </w:rPr>
              <w:t>优势</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DDBDF75">
            <w:pPr>
              <w:spacing w:after="0"/>
            </w:pPr>
            <w:r>
              <w:rPr>
                <w:rFonts w:ascii="宋体" w:hAnsi="宋体" w:eastAsia="宋体" w:cs="宋体"/>
                <w:b/>
                <w:bCs/>
                <w:color w:val="FFFFFF"/>
                <w:sz w:val="20"/>
                <w:szCs w:val="20"/>
              </w:rPr>
              <w:t>风险</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452FFA2">
            <w:pPr>
              <w:spacing w:after="0"/>
            </w:pPr>
            <w:r>
              <w:rPr>
                <w:rFonts w:ascii="宋体" w:hAnsi="宋体" w:eastAsia="宋体" w:cs="宋体"/>
                <w:b/>
                <w:bCs/>
                <w:color w:val="FFFFFF"/>
                <w:sz w:val="20"/>
                <w:szCs w:val="20"/>
              </w:rPr>
              <w:t>适用条件</w:t>
            </w:r>
          </w:p>
        </w:tc>
      </w:tr>
      <w:tr w14:paraId="048D7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0BC791">
            <w:pPr>
              <w:spacing w:after="0"/>
            </w:pPr>
            <w:r>
              <w:rPr>
                <w:rFonts w:ascii="宋体" w:hAnsi="宋体" w:eastAsia="宋体" w:cs="宋体"/>
                <w:sz w:val="20"/>
                <w:szCs w:val="20"/>
              </w:rPr>
              <w:t>博物馆化</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38D39E">
            <w:pPr>
              <w:spacing w:after="0"/>
            </w:pPr>
            <w:r>
              <w:rPr>
                <w:rFonts w:ascii="宋体" w:hAnsi="宋体" w:eastAsia="宋体" w:cs="宋体"/>
                <w:sz w:val="20"/>
                <w:szCs w:val="20"/>
              </w:rPr>
              <w:t>静态保护+展陈教育</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A730621">
            <w:pPr>
              <w:spacing w:after="0"/>
            </w:pPr>
            <w:r>
              <w:rPr>
                <w:rFonts w:ascii="宋体" w:hAnsi="宋体" w:eastAsia="宋体" w:cs="宋体"/>
                <w:sz w:val="20"/>
                <w:szCs w:val="20"/>
              </w:rPr>
              <w:t>保护效果好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960CA9">
            <w:pPr>
              <w:spacing w:after="0"/>
            </w:pPr>
            <w:r>
              <w:rPr>
                <w:rFonts w:ascii="宋体" w:hAnsi="宋体" w:eastAsia="宋体" w:cs="宋体"/>
                <w:sz w:val="20"/>
                <w:szCs w:val="20"/>
              </w:rPr>
              <w:t>遗产与生活脱节</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EBFAEE5">
            <w:pPr>
              <w:spacing w:after="0"/>
            </w:pPr>
            <w:r>
              <w:rPr>
                <w:rFonts w:ascii="宋体" w:hAnsi="宋体" w:eastAsia="宋体" w:cs="宋体"/>
                <w:sz w:val="20"/>
                <w:szCs w:val="20"/>
              </w:rPr>
              <w:t>遗址、可移动文物</w:t>
            </w:r>
          </w:p>
        </w:tc>
      </w:tr>
      <w:tr w14:paraId="61688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51B1D7">
            <w:pPr>
              <w:spacing w:after="0"/>
            </w:pPr>
            <w:r>
              <w:rPr>
                <w:rFonts w:ascii="宋体" w:hAnsi="宋体" w:eastAsia="宋体" w:cs="宋体"/>
                <w:sz w:val="20"/>
                <w:szCs w:val="20"/>
              </w:rPr>
              <w:t>景区化</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A6BFD3">
            <w:pPr>
              <w:spacing w:after="0"/>
            </w:pPr>
            <w:r>
              <w:rPr>
                <w:rFonts w:ascii="宋体" w:hAnsi="宋体" w:eastAsia="宋体" w:cs="宋体"/>
                <w:sz w:val="20"/>
                <w:szCs w:val="20"/>
              </w:rPr>
              <w:t>商业运营+游客服务</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595F32">
            <w:pPr>
              <w:spacing w:after="0"/>
            </w:pPr>
            <w:r>
              <w:rPr>
                <w:rFonts w:ascii="宋体" w:hAnsi="宋体" w:eastAsia="宋体" w:cs="宋体"/>
                <w:sz w:val="20"/>
                <w:szCs w:val="20"/>
              </w:rPr>
              <w:t>经济效益显著</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89D295">
            <w:pPr>
              <w:spacing w:after="0"/>
            </w:pPr>
            <w:r>
              <w:rPr>
                <w:rFonts w:ascii="宋体" w:hAnsi="宋体" w:eastAsia="宋体" w:cs="宋体"/>
                <w:sz w:val="20"/>
                <w:szCs w:val="20"/>
              </w:rPr>
              <w:t>过度商业化</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9219DC">
            <w:pPr>
              <w:spacing w:after="0"/>
            </w:pPr>
            <w:r>
              <w:rPr>
                <w:rFonts w:ascii="宋体" w:hAnsi="宋体" w:eastAsia="宋体" w:cs="宋体"/>
                <w:sz w:val="20"/>
                <w:szCs w:val="20"/>
              </w:rPr>
              <w:t>资源吸引力强者</w:t>
            </w:r>
          </w:p>
        </w:tc>
      </w:tr>
      <w:tr w14:paraId="5A66E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4DDBB0">
            <w:pPr>
              <w:spacing w:after="0"/>
            </w:pPr>
            <w:r>
              <w:rPr>
                <w:rFonts w:ascii="宋体" w:hAnsi="宋体" w:eastAsia="宋体" w:cs="宋体"/>
                <w:sz w:val="20"/>
                <w:szCs w:val="20"/>
              </w:rPr>
              <w:t>社区化</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1CA9B5">
            <w:pPr>
              <w:spacing w:after="0"/>
            </w:pPr>
            <w:r>
              <w:rPr>
                <w:rFonts w:ascii="宋体" w:hAnsi="宋体" w:eastAsia="宋体" w:cs="宋体"/>
                <w:sz w:val="20"/>
                <w:szCs w:val="20"/>
              </w:rPr>
              <w:t>保持生活功能+有限开放</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A89196">
            <w:pPr>
              <w:spacing w:after="0"/>
            </w:pPr>
            <w:r>
              <w:rPr>
                <w:rFonts w:ascii="宋体" w:hAnsi="宋体" w:eastAsia="宋体" w:cs="宋体"/>
                <w:sz w:val="20"/>
                <w:szCs w:val="20"/>
              </w:rPr>
              <w:t>活态传承</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CE7F4D">
            <w:pPr>
              <w:spacing w:after="0"/>
            </w:pPr>
            <w:r>
              <w:rPr>
                <w:rFonts w:ascii="宋体" w:hAnsi="宋体" w:eastAsia="宋体" w:cs="宋体"/>
                <w:sz w:val="20"/>
                <w:szCs w:val="20"/>
              </w:rPr>
              <w:t>游客承载有限</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67AD4A">
            <w:pPr>
              <w:spacing w:after="0"/>
            </w:pPr>
            <w:r>
              <w:rPr>
                <w:rFonts w:ascii="宋体" w:hAnsi="宋体" w:eastAsia="宋体" w:cs="宋体"/>
                <w:sz w:val="20"/>
                <w:szCs w:val="20"/>
              </w:rPr>
              <w:t>活态遗产、传统村落</w:t>
            </w:r>
          </w:p>
        </w:tc>
      </w:tr>
      <w:tr w14:paraId="1E380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7C7532B">
            <w:pPr>
              <w:spacing w:after="0"/>
            </w:pPr>
            <w:r>
              <w:rPr>
                <w:rFonts w:ascii="宋体" w:hAnsi="宋体" w:eastAsia="宋体" w:cs="宋体"/>
                <w:sz w:val="20"/>
                <w:szCs w:val="20"/>
              </w:rPr>
              <w:t>数字化</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54F7E31">
            <w:pPr>
              <w:spacing w:after="0"/>
            </w:pPr>
            <w:r>
              <w:rPr>
                <w:rFonts w:ascii="宋体" w:hAnsi="宋体" w:eastAsia="宋体" w:cs="宋体"/>
                <w:sz w:val="20"/>
                <w:szCs w:val="20"/>
              </w:rPr>
              <w:t>虚拟展示+线上服务</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6E09D9">
            <w:pPr>
              <w:spacing w:after="0"/>
            </w:pPr>
            <w:r>
              <w:rPr>
                <w:rFonts w:ascii="宋体" w:hAnsi="宋体" w:eastAsia="宋体" w:cs="宋体"/>
                <w:sz w:val="20"/>
                <w:szCs w:val="20"/>
              </w:rPr>
              <w:t>不受物理限制</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62A34B">
            <w:pPr>
              <w:spacing w:after="0"/>
            </w:pPr>
            <w:r>
              <w:rPr>
                <w:rFonts w:ascii="宋体" w:hAnsi="宋体" w:eastAsia="宋体" w:cs="宋体"/>
                <w:sz w:val="20"/>
                <w:szCs w:val="20"/>
              </w:rPr>
              <w:t>替代现场体验</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EF32C0">
            <w:pPr>
              <w:spacing w:after="0"/>
            </w:pPr>
            <w:r>
              <w:rPr>
                <w:rFonts w:ascii="宋体" w:hAnsi="宋体" w:eastAsia="宋体" w:cs="宋体"/>
                <w:sz w:val="20"/>
                <w:szCs w:val="20"/>
              </w:rPr>
              <w:t>所有遗产类型</w:t>
            </w:r>
          </w:p>
        </w:tc>
      </w:tr>
    </w:tbl>
    <w:p w14:paraId="1E727E31">
      <w:r>
        <w:br w:type="page"/>
      </w:r>
    </w:p>
    <w:p w14:paraId="1E55FD71">
      <w:pPr>
        <w:pStyle w:val="2"/>
        <w:spacing w:before="400" w:after="200"/>
      </w:pPr>
      <w:bookmarkStart w:id="244" w:name="_Toc17282"/>
      <w:r>
        <w:rPr>
          <w:rFonts w:ascii="黑体" w:hAnsi="黑体" w:eastAsia="黑体" w:cs="黑体"/>
          <w:b/>
          <w:bCs/>
          <w:color w:val="1F4E79"/>
          <w:sz w:val="32"/>
          <w:szCs w:val="32"/>
        </w:rPr>
        <w:t>第 9 章  沉浸式屯堡体验设计</w:t>
      </w:r>
      <w:bookmarkEnd w:id="244"/>
    </w:p>
    <w:p w14:paraId="3F22A149">
      <w:pPr>
        <w:pStyle w:val="3"/>
        <w:spacing w:before="300" w:after="200"/>
      </w:pPr>
      <w:bookmarkStart w:id="245" w:name="_Toc4610"/>
      <w:r>
        <w:rPr>
          <w:rFonts w:ascii="黑体" w:hAnsi="黑体" w:eastAsia="黑体" w:cs="黑体"/>
          <w:b/>
          <w:bCs/>
          <w:color w:val="000000"/>
          <w:sz w:val="28"/>
          <w:szCs w:val="28"/>
        </w:rPr>
        <w:t>学习目标</w:t>
      </w:r>
      <w:bookmarkEnd w:id="245"/>
    </w:p>
    <w:p w14:paraId="52424375">
      <w:pPr>
        <w:pStyle w:val="19"/>
        <w:numPr>
          <w:ilvl w:val="0"/>
          <w:numId w:val="1"/>
        </w:numPr>
        <w:spacing w:after="60" w:line="340" w:lineRule="auto"/>
      </w:pPr>
      <w:r>
        <w:rPr>
          <w:rFonts w:ascii="宋体" w:hAnsi="宋体" w:eastAsia="宋体" w:cs="宋体"/>
          <w:sz w:val="24"/>
          <w:szCs w:val="24"/>
        </w:rPr>
        <w:t>理解沉浸式体验设计的基本原理和方法论</w:t>
      </w:r>
    </w:p>
    <w:p w14:paraId="462A5B16">
      <w:pPr>
        <w:pStyle w:val="19"/>
        <w:numPr>
          <w:ilvl w:val="0"/>
          <w:numId w:val="1"/>
        </w:numPr>
        <w:spacing w:after="60" w:line="340" w:lineRule="auto"/>
      </w:pPr>
      <w:r>
        <w:rPr>
          <w:rFonts w:ascii="宋体" w:hAnsi="宋体" w:eastAsia="宋体" w:cs="宋体"/>
          <w:sz w:val="24"/>
          <w:szCs w:val="24"/>
        </w:rPr>
        <w:t>掌握VR/AR/MR技术在文化遗产旅游中的应用设计</w:t>
      </w:r>
    </w:p>
    <w:p w14:paraId="2B9F65E3">
      <w:pPr>
        <w:pStyle w:val="19"/>
        <w:numPr>
          <w:ilvl w:val="0"/>
          <w:numId w:val="1"/>
        </w:numPr>
        <w:spacing w:after="60" w:line="340" w:lineRule="auto"/>
      </w:pPr>
      <w:r>
        <w:rPr>
          <w:rFonts w:ascii="宋体" w:hAnsi="宋体" w:eastAsia="宋体" w:cs="宋体"/>
          <w:sz w:val="24"/>
          <w:szCs w:val="24"/>
        </w:rPr>
        <w:t>了解沉浸式剧场、光影秀等线下沉浸式体验形式</w:t>
      </w:r>
    </w:p>
    <w:p w14:paraId="4E6A4E3A">
      <w:pPr>
        <w:pStyle w:val="19"/>
        <w:numPr>
          <w:ilvl w:val="0"/>
          <w:numId w:val="1"/>
        </w:numPr>
        <w:spacing w:after="60" w:line="340" w:lineRule="auto"/>
      </w:pPr>
      <w:r>
        <w:rPr>
          <w:rFonts w:ascii="宋体" w:hAnsi="宋体" w:eastAsia="宋体" w:cs="宋体"/>
          <w:sz w:val="24"/>
          <w:szCs w:val="24"/>
        </w:rPr>
        <w:t>能够针对屯堡文化场景设计沉浸式体验产品</w:t>
      </w:r>
    </w:p>
    <w:p w14:paraId="006B320A">
      <w:pPr>
        <w:pStyle w:val="19"/>
        <w:numPr>
          <w:ilvl w:val="0"/>
          <w:numId w:val="1"/>
        </w:numPr>
        <w:spacing w:after="60" w:line="340" w:lineRule="auto"/>
      </w:pPr>
      <w:r>
        <w:rPr>
          <w:rFonts w:ascii="宋体" w:hAnsi="宋体" w:eastAsia="宋体" w:cs="宋体"/>
          <w:sz w:val="24"/>
          <w:szCs w:val="24"/>
        </w:rPr>
        <w:t>分析沉浸式体验在文化遗产活化中的价值和局限</w:t>
      </w:r>
    </w:p>
    <w:p w14:paraId="33985C4D">
      <w:pPr>
        <w:pStyle w:val="3"/>
        <w:spacing w:before="300" w:after="200"/>
      </w:pPr>
      <w:bookmarkStart w:id="246" w:name="_Toc22091"/>
      <w:r>
        <w:rPr>
          <w:rFonts w:ascii="黑体" w:hAnsi="黑体" w:eastAsia="黑体" w:cs="黑体"/>
          <w:b/>
          <w:bCs/>
          <w:color w:val="000000"/>
          <w:sz w:val="28"/>
          <w:szCs w:val="28"/>
        </w:rPr>
        <w:t>导入案例：在地戏里"穿越"六百年</w:t>
      </w:r>
      <w:bookmarkEnd w:id="246"/>
    </w:p>
    <w:p w14:paraId="1694603A">
      <w:pPr>
        <w:spacing w:after="120" w:line="360" w:lineRule="auto"/>
        <w:jc w:val="both"/>
      </w:pPr>
      <w:r>
        <w:rPr>
          <w:rFonts w:ascii="宋体" w:hAnsi="宋体" w:eastAsia="宋体" w:cs="宋体"/>
          <w:sz w:val="24"/>
          <w:szCs w:val="24"/>
        </w:rPr>
        <w:t>2026年五一假期，天龙屯堡推出了一个全新的体验项目——"地戏穿越"沉浸式剧场。游客不是坐在台下看地戏，而是"走进"地戏之中。</w:t>
      </w:r>
    </w:p>
    <w:p w14:paraId="0ABDF37F">
      <w:pPr>
        <w:spacing w:after="120" w:line="360" w:lineRule="auto"/>
        <w:jc w:val="both"/>
      </w:pPr>
      <w:r>
        <w:rPr>
          <w:rFonts w:ascii="宋体" w:hAnsi="宋体" w:eastAsia="宋体" w:cs="宋体"/>
          <w:sz w:val="24"/>
          <w:szCs w:val="24"/>
        </w:rPr>
        <w:t>体验从一间昏暗的老屋开始。游客被蒙上眼睛，耳畔响起洪武十四年大军出征的号角声。眼罩摘下时，他们发现自己"穿越"到了明代军营——身穿铠甲的"明军士兵"正在操练，一位"将军"将地戏面具递给每位游客："戴上它，你将获得一个身份。"</w:t>
      </w:r>
    </w:p>
    <w:p w14:paraId="6A3447BC">
      <w:pPr>
        <w:spacing w:after="120" w:line="360" w:lineRule="auto"/>
        <w:jc w:val="both"/>
      </w:pPr>
      <w:r>
        <w:rPr>
          <w:rFonts w:ascii="宋体" w:hAnsi="宋体" w:eastAsia="宋体" w:cs="宋体"/>
          <w:sz w:val="24"/>
          <w:szCs w:val="24"/>
        </w:rPr>
        <w:t>在接下来的60分钟里，游客戴着面具，跟随"将军"经历了从出征到凯旋的完整故事。他们参与了"军事会议"，学习了"阵法演练"，在"战场"上呐喊厮杀。故事的高潮是地戏表演——当游客发现刚才扮演"将军"的演员正是地戏传承人时，一种跨越时空的文化传承感油然而生。</w:t>
      </w:r>
    </w:p>
    <w:p w14:paraId="64183FB2">
      <w:pPr>
        <w:spacing w:after="120" w:line="360" w:lineRule="auto"/>
        <w:jc w:val="both"/>
      </w:pPr>
      <w:r>
        <w:rPr>
          <w:rFonts w:ascii="宋体" w:hAnsi="宋体" w:eastAsia="宋体" w:cs="宋体"/>
          <w:sz w:val="24"/>
          <w:szCs w:val="24"/>
        </w:rPr>
        <w:t>"以前觉得地戏就是台上唱戏，离我很远。"一位来自上海的游客说，"今天才真正理解了为什么屯堡人说地戏是'跳神'——那不是在演戏，是在和六百年前的祖先对话。"</w:t>
      </w:r>
    </w:p>
    <w:p w14:paraId="588CAF32">
      <w:pPr>
        <w:pStyle w:val="3"/>
        <w:spacing w:before="300" w:after="200"/>
      </w:pPr>
      <w:bookmarkStart w:id="247" w:name="_Toc22728"/>
      <w:r>
        <w:rPr>
          <w:rFonts w:ascii="黑体" w:hAnsi="黑体" w:eastAsia="黑体" w:cs="黑体"/>
          <w:b/>
          <w:bCs/>
          <w:color w:val="000000"/>
          <w:sz w:val="28"/>
          <w:szCs w:val="28"/>
        </w:rPr>
        <w:t>9.1 沉浸式体验设计基础</w:t>
      </w:r>
      <w:bookmarkEnd w:id="247"/>
    </w:p>
    <w:p w14:paraId="5E8F08A0">
      <w:pPr>
        <w:pStyle w:val="4"/>
        <w:spacing w:before="300" w:after="200"/>
      </w:pPr>
      <w:bookmarkStart w:id="248" w:name="_Toc1848"/>
      <w:r>
        <w:rPr>
          <w:rFonts w:ascii="黑体" w:hAnsi="黑体" w:eastAsia="黑体" w:cs="黑体"/>
          <w:b/>
          <w:bCs/>
          <w:color w:val="000000"/>
          <w:sz w:val="26"/>
          <w:szCs w:val="26"/>
        </w:rPr>
        <w:t>9.1.1 沉浸式体验的概念</w:t>
      </w:r>
      <w:bookmarkEnd w:id="248"/>
    </w:p>
    <w:p w14:paraId="09B6783E">
      <w:pPr>
        <w:spacing w:after="120" w:line="360" w:lineRule="auto"/>
        <w:jc w:val="both"/>
      </w:pPr>
      <w:r>
        <w:rPr>
          <w:rFonts w:ascii="宋体" w:hAnsi="宋体" w:eastAsia="宋体" w:cs="宋体"/>
          <w:sz w:val="24"/>
          <w:szCs w:val="24"/>
        </w:rPr>
        <w:t>沉浸式体验（Immersive Experience）是指通过多感官、多层次的刺激，让参与者全身心地投入到特定的情境中，产生"身临其境"甚至"身为其人"的感受。</w:t>
      </w:r>
    </w:p>
    <w:p w14:paraId="4FA2D6E4">
      <w:pPr>
        <w:spacing w:after="120" w:line="360" w:lineRule="auto"/>
        <w:jc w:val="both"/>
      </w:pPr>
      <w:r>
        <w:rPr>
          <w:rFonts w:ascii="宋体" w:hAnsi="宋体" w:eastAsia="宋体" w:cs="宋体"/>
          <w:sz w:val="24"/>
          <w:szCs w:val="24"/>
        </w:rPr>
        <w:t>沉浸式体验的核心要素包括：空间沉浸——物理环境被改造为与主题一致的场景；叙事沉浸——参与者被卷入一个连贯的故事中；感官沉浸——视觉、听觉、触觉、嗅觉甚至味觉被全面调动；交互沉浸——参与者的行为影响体验的进程和结果；情感沉浸——参与者与角色、故事产生情感共鸣。</w:t>
      </w:r>
    </w:p>
    <w:p w14:paraId="3BBCAEB1">
      <w:pPr>
        <w:pStyle w:val="4"/>
        <w:spacing w:before="300" w:after="200"/>
      </w:pPr>
      <w:bookmarkStart w:id="249" w:name="_Toc11872"/>
      <w:r>
        <w:rPr>
          <w:rFonts w:ascii="黑体" w:hAnsi="黑体" w:eastAsia="黑体" w:cs="黑体"/>
          <w:b/>
          <w:bCs/>
          <w:color w:val="000000"/>
          <w:sz w:val="26"/>
          <w:szCs w:val="26"/>
        </w:rPr>
        <w:t>9.1.2 文化遗产沉浸式体验的类型</w:t>
      </w:r>
      <w:bookmarkEnd w:id="249"/>
    </w:p>
    <w:p w14:paraId="16E9D60D">
      <w:pPr>
        <w:spacing w:after="120" w:line="360" w:lineRule="auto"/>
        <w:jc w:val="both"/>
      </w:pPr>
      <w:r>
        <w:rPr>
          <w:rFonts w:ascii="宋体" w:hAnsi="宋体" w:eastAsia="宋体" w:cs="宋体"/>
          <w:b/>
          <w:bCs/>
          <w:sz w:val="24"/>
          <w:szCs w:val="24"/>
        </w:rPr>
        <w:t>线下沉浸式体验。</w:t>
      </w:r>
      <w:r>
        <w:rPr>
          <w:rFonts w:ascii="宋体" w:hAnsi="宋体" w:eastAsia="宋体" w:cs="宋体"/>
          <w:sz w:val="24"/>
          <w:szCs w:val="24"/>
        </w:rPr>
        <w:t xml:space="preserve"> 在文化遗产现场或专用场馆进行的沉浸式体验。包括沉浸式剧场（如天龙屯堡的"地戏穿越"）、沉浸式光影秀（如故宫"紫禁城上元之夜"）、沉浸式导览（角色扮演式导览）、沉浸式工坊（手工艺深度体验）。</w:t>
      </w:r>
    </w:p>
    <w:p w14:paraId="064BC131">
      <w:pPr>
        <w:spacing w:after="120" w:line="360" w:lineRule="auto"/>
        <w:jc w:val="both"/>
      </w:pPr>
      <w:r>
        <w:rPr>
          <w:rFonts w:ascii="宋体" w:hAnsi="宋体" w:eastAsia="宋体" w:cs="宋体"/>
          <w:b/>
          <w:bCs/>
          <w:sz w:val="24"/>
          <w:szCs w:val="24"/>
        </w:rPr>
        <w:t>线上沉浸式体验。</w:t>
      </w:r>
      <w:r>
        <w:rPr>
          <w:rFonts w:ascii="宋体" w:hAnsi="宋体" w:eastAsia="宋体" w:cs="宋体"/>
          <w:sz w:val="24"/>
          <w:szCs w:val="24"/>
        </w:rPr>
        <w:t xml:space="preserve"> 通过数字技术实现的远程沉浸式体验。包括VR文化遗产漫游、AR现场增强导览、全息投影展示、互动式数字展览。</w:t>
      </w:r>
    </w:p>
    <w:p w14:paraId="66CA1672">
      <w:pPr>
        <w:spacing w:after="120" w:line="360" w:lineRule="auto"/>
        <w:jc w:val="both"/>
      </w:pPr>
      <w:r>
        <w:rPr>
          <w:rFonts w:ascii="宋体" w:hAnsi="宋体" w:eastAsia="宋体" w:cs="宋体"/>
          <w:b/>
          <w:bCs/>
          <w:sz w:val="24"/>
          <w:szCs w:val="24"/>
        </w:rPr>
        <w:t>混合沉浸式体验。</w:t>
      </w:r>
      <w:r>
        <w:rPr>
          <w:rFonts w:ascii="宋体" w:hAnsi="宋体" w:eastAsia="宋体" w:cs="宋体"/>
          <w:sz w:val="24"/>
          <w:szCs w:val="24"/>
        </w:rPr>
        <w:t xml:space="preserve"> 线上线下相结合的沉浸式体验。例如，在现场参观中通过AR眼镜叠加历史场景复原，或在VR环境中模拟文物修复过程。</w:t>
      </w:r>
    </w:p>
    <w:p w14:paraId="247C7D62">
      <w:pPr>
        <w:pStyle w:val="4"/>
        <w:spacing w:before="300" w:after="200"/>
      </w:pPr>
      <w:bookmarkStart w:id="250" w:name="_Toc25834"/>
      <w:r>
        <w:rPr>
          <w:rFonts w:ascii="黑体" w:hAnsi="黑体" w:eastAsia="黑体" w:cs="黑体"/>
          <w:b/>
          <w:bCs/>
          <w:color w:val="000000"/>
          <w:sz w:val="26"/>
          <w:szCs w:val="26"/>
        </w:rPr>
        <w:t>9.1.3 设计原则</w:t>
      </w:r>
      <w:bookmarkEnd w:id="250"/>
    </w:p>
    <w:p w14:paraId="5C10D2BF">
      <w:pPr>
        <w:spacing w:after="120" w:line="360" w:lineRule="auto"/>
        <w:jc w:val="both"/>
      </w:pPr>
      <w:r>
        <w:rPr>
          <w:rFonts w:ascii="宋体" w:hAnsi="宋体" w:eastAsia="宋体" w:cs="宋体"/>
          <w:sz w:val="24"/>
          <w:szCs w:val="24"/>
        </w:rPr>
        <w:t>文化遗产沉浸式体验设计应遵循以下原则：</w:t>
      </w:r>
    </w:p>
    <w:p w14:paraId="611F0C0F">
      <w:pPr>
        <w:spacing w:after="120" w:line="360" w:lineRule="auto"/>
        <w:jc w:val="both"/>
      </w:pPr>
      <w:r>
        <w:rPr>
          <w:rFonts w:ascii="宋体" w:hAnsi="宋体" w:eastAsia="宋体" w:cs="宋体"/>
          <w:b/>
          <w:bCs/>
          <w:sz w:val="24"/>
          <w:szCs w:val="24"/>
        </w:rPr>
        <w:t>原真性原则。</w:t>
      </w:r>
      <w:r>
        <w:rPr>
          <w:rFonts w:ascii="宋体" w:hAnsi="宋体" w:eastAsia="宋体" w:cs="宋体"/>
          <w:sz w:val="24"/>
          <w:szCs w:val="24"/>
        </w:rPr>
        <w:t xml:space="preserve"> 沉浸式体验可以运用虚构和想象，但不能歪曲历史事实和文化内涵。故事的虚构应建立在真实的历史背景和文化逻辑之上。</w:t>
      </w:r>
    </w:p>
    <w:p w14:paraId="6702F907">
      <w:pPr>
        <w:spacing w:after="120" w:line="360" w:lineRule="auto"/>
        <w:jc w:val="both"/>
      </w:pPr>
      <w:r>
        <w:rPr>
          <w:rFonts w:ascii="宋体" w:hAnsi="宋体" w:eastAsia="宋体" w:cs="宋体"/>
          <w:b/>
          <w:bCs/>
          <w:sz w:val="24"/>
          <w:szCs w:val="24"/>
        </w:rPr>
        <w:t>教育性原则。</w:t>
      </w:r>
      <w:r>
        <w:rPr>
          <w:rFonts w:ascii="宋体" w:hAnsi="宋体" w:eastAsia="宋体" w:cs="宋体"/>
          <w:sz w:val="24"/>
          <w:szCs w:val="24"/>
        </w:rPr>
        <w:t xml:space="preserve"> 沉浸式体验不仅是娱乐，更应传递知识和启发思考。好的沉浸式体验让参与者在"玩"中"学"。</w:t>
      </w:r>
    </w:p>
    <w:p w14:paraId="01E08DF9">
      <w:pPr>
        <w:spacing w:after="120" w:line="360" w:lineRule="auto"/>
        <w:jc w:val="both"/>
      </w:pPr>
      <w:r>
        <w:rPr>
          <w:rFonts w:ascii="宋体" w:hAnsi="宋体" w:eastAsia="宋体" w:cs="宋体"/>
          <w:b/>
          <w:bCs/>
          <w:sz w:val="24"/>
          <w:szCs w:val="24"/>
        </w:rPr>
        <w:t>参与性原则。</w:t>
      </w:r>
      <w:r>
        <w:rPr>
          <w:rFonts w:ascii="宋体" w:hAnsi="宋体" w:eastAsia="宋体" w:cs="宋体"/>
          <w:sz w:val="24"/>
          <w:szCs w:val="24"/>
        </w:rPr>
        <w:t xml:space="preserve"> 参与者是体验的主体而非被动的观众。设计应为参与者提供有意义的选择和互动机会。</w:t>
      </w:r>
    </w:p>
    <w:p w14:paraId="7EC54F21">
      <w:pPr>
        <w:spacing w:after="120" w:line="360" w:lineRule="auto"/>
        <w:jc w:val="both"/>
      </w:pPr>
      <w:r>
        <w:rPr>
          <w:rFonts w:ascii="宋体" w:hAnsi="宋体" w:eastAsia="宋体" w:cs="宋体"/>
          <w:b/>
          <w:bCs/>
          <w:sz w:val="24"/>
          <w:szCs w:val="24"/>
        </w:rPr>
        <w:t>可及性原则。</w:t>
      </w:r>
      <w:r>
        <w:rPr>
          <w:rFonts w:ascii="宋体" w:hAnsi="宋体" w:eastAsia="宋体" w:cs="宋体"/>
          <w:sz w:val="24"/>
          <w:szCs w:val="24"/>
        </w:rPr>
        <w:t xml:space="preserve"> 体验设计应考虑不同年龄、身体条件和知识背景的参与者，降低参与门槛。</w:t>
      </w:r>
    </w:p>
    <w:p w14:paraId="22E23A65">
      <w:pPr>
        <w:spacing w:after="120" w:line="360" w:lineRule="auto"/>
        <w:jc w:val="both"/>
      </w:pPr>
      <w:r>
        <w:rPr>
          <w:rFonts w:ascii="宋体" w:hAnsi="宋体" w:eastAsia="宋体" w:cs="宋体"/>
          <w:b/>
          <w:bCs/>
          <w:sz w:val="24"/>
          <w:szCs w:val="24"/>
        </w:rPr>
        <w:t>安全性原则。</w:t>
      </w:r>
      <w:r>
        <w:rPr>
          <w:rFonts w:ascii="宋体" w:hAnsi="宋体" w:eastAsia="宋体" w:cs="宋体"/>
          <w:sz w:val="24"/>
          <w:szCs w:val="24"/>
        </w:rPr>
        <w:t xml:space="preserve"> 沉浸式体验中的物理环境、道具设备、心理冲击都应符合安全标准。</w:t>
      </w:r>
    </w:p>
    <w:p w14:paraId="039519E2">
      <w:pPr>
        <w:pStyle w:val="3"/>
        <w:spacing w:before="300" w:after="200"/>
      </w:pPr>
      <w:bookmarkStart w:id="251" w:name="_Toc13047"/>
      <w:r>
        <w:rPr>
          <w:rFonts w:ascii="黑体" w:hAnsi="黑体" w:eastAsia="黑体" w:cs="黑体"/>
          <w:b/>
          <w:bCs/>
          <w:color w:val="000000"/>
          <w:sz w:val="28"/>
          <w:szCs w:val="28"/>
        </w:rPr>
        <w:t>9.2 VR/AR屯堡体验设计</w:t>
      </w:r>
      <w:bookmarkEnd w:id="251"/>
    </w:p>
    <w:p w14:paraId="23DDBAF0">
      <w:pPr>
        <w:pStyle w:val="4"/>
        <w:spacing w:before="300" w:after="200"/>
      </w:pPr>
      <w:bookmarkStart w:id="252" w:name="_Toc21184"/>
      <w:r>
        <w:rPr>
          <w:rFonts w:ascii="黑体" w:hAnsi="黑体" w:eastAsia="黑体" w:cs="黑体"/>
          <w:b/>
          <w:bCs/>
          <w:color w:val="000000"/>
          <w:sz w:val="26"/>
          <w:szCs w:val="26"/>
        </w:rPr>
        <w:t>9.2.1 VR屯堡漫游系统</w:t>
      </w:r>
      <w:bookmarkEnd w:id="252"/>
    </w:p>
    <w:p w14:paraId="5660F2E6">
      <w:pPr>
        <w:spacing w:after="120" w:line="360" w:lineRule="auto"/>
        <w:jc w:val="both"/>
      </w:pPr>
      <w:r>
        <w:rPr>
          <w:rFonts w:ascii="宋体" w:hAnsi="宋体" w:eastAsia="宋体" w:cs="宋体"/>
          <w:sz w:val="24"/>
          <w:szCs w:val="24"/>
        </w:rPr>
        <w:t>基于第5章介绍的屯堡建筑三维数字化成果，可以开发VR屯堡漫游系统。</w:t>
      </w:r>
    </w:p>
    <w:p w14:paraId="54FFA23F">
      <w:pPr>
        <w:spacing w:after="120" w:line="360" w:lineRule="auto"/>
        <w:jc w:val="both"/>
      </w:pPr>
      <w:r>
        <w:rPr>
          <w:rFonts w:ascii="宋体" w:hAnsi="宋体" w:eastAsia="宋体" w:cs="宋体"/>
          <w:b/>
          <w:bCs/>
          <w:sz w:val="24"/>
          <w:szCs w:val="24"/>
        </w:rPr>
        <w:t>场景设计。</w:t>
      </w:r>
      <w:r>
        <w:rPr>
          <w:rFonts w:ascii="宋体" w:hAnsi="宋体" w:eastAsia="宋体" w:cs="宋体"/>
          <w:sz w:val="24"/>
          <w:szCs w:val="24"/>
        </w:rPr>
        <w:t xml:space="preserve"> 选取天龙屯堡、本寨、云山屯等代表性村寨，建立1:1的VR场景。场景不仅包含静态的建筑和景观，还应加入动态元素——行走的村民、晾晒的衣物、飘落的树叶——让虚拟世界"活"起来。</w:t>
      </w:r>
    </w:p>
    <w:p w14:paraId="373534BC">
      <w:pPr>
        <w:spacing w:after="120" w:line="360" w:lineRule="auto"/>
        <w:jc w:val="both"/>
      </w:pPr>
      <w:r>
        <w:rPr>
          <w:rFonts w:ascii="宋体" w:hAnsi="宋体" w:eastAsia="宋体" w:cs="宋体"/>
          <w:b/>
          <w:bCs/>
          <w:sz w:val="24"/>
          <w:szCs w:val="24"/>
        </w:rPr>
        <w:t>交互设计。</w:t>
      </w:r>
      <w:r>
        <w:rPr>
          <w:rFonts w:ascii="宋体" w:hAnsi="宋体" w:eastAsia="宋体" w:cs="宋体"/>
          <w:sz w:val="24"/>
          <w:szCs w:val="24"/>
        </w:rPr>
        <w:t xml:space="preserve"> 用户可以通过VR手柄或手势识别与场景互动：推开门扉进入老宅，拿起地戏面具仔细端详，坐在四合院天井里听老人讲故事。交互设计应直观自然，降低学习成本。</w:t>
      </w:r>
    </w:p>
    <w:p w14:paraId="45E4B7CE">
      <w:pPr>
        <w:spacing w:after="120" w:line="360" w:lineRule="auto"/>
        <w:jc w:val="both"/>
      </w:pPr>
      <w:r>
        <w:rPr>
          <w:rFonts w:ascii="宋体" w:hAnsi="宋体" w:eastAsia="宋体" w:cs="宋体"/>
          <w:b/>
          <w:bCs/>
          <w:sz w:val="24"/>
          <w:szCs w:val="24"/>
        </w:rPr>
        <w:t>叙事设计。</w:t>
      </w:r>
      <w:r>
        <w:rPr>
          <w:rFonts w:ascii="宋体" w:hAnsi="宋体" w:eastAsia="宋体" w:cs="宋体"/>
          <w:sz w:val="24"/>
          <w:szCs w:val="24"/>
        </w:rPr>
        <w:t xml:space="preserve"> VR漫游不只是"自由闲逛"，可以嵌入多条叙事线。例如，"建筑之旅"引导用户探索不同时期的建筑风格演变；"非遗之旅"引导用户发现隐藏在村寨各处的地戏、服饰、饮食等非遗元素；"时光之旅"允许用户切换不同历史时期（明代、清代、民国、当代）的同一场景。</w:t>
      </w:r>
    </w:p>
    <w:p w14:paraId="1C540DE8">
      <w:pPr>
        <w:spacing w:after="120" w:line="360" w:lineRule="auto"/>
        <w:jc w:val="both"/>
      </w:pPr>
      <w:r>
        <w:rPr>
          <w:rFonts w:ascii="宋体" w:hAnsi="宋体" w:eastAsia="宋体" w:cs="宋体"/>
          <w:b/>
          <w:bCs/>
          <w:sz w:val="24"/>
          <w:szCs w:val="24"/>
        </w:rPr>
        <w:t>多人协作。</w:t>
      </w:r>
      <w:r>
        <w:rPr>
          <w:rFonts w:ascii="宋体" w:hAnsi="宋体" w:eastAsia="宋体" w:cs="宋体"/>
          <w:sz w:val="24"/>
          <w:szCs w:val="24"/>
        </w:rPr>
        <w:t xml:space="preserve"> 支持多用户同时在VR场景中漫游和互动，实现"云游屯堡"的社交体验。导游可以在VR中带领游客团队，讲解建筑历史和民俗故事。</w:t>
      </w:r>
    </w:p>
    <w:p w14:paraId="20A7894C">
      <w:pPr>
        <w:pStyle w:val="4"/>
        <w:spacing w:before="300" w:after="200"/>
      </w:pPr>
      <w:bookmarkStart w:id="253" w:name="_Toc30920"/>
      <w:r>
        <w:rPr>
          <w:rFonts w:ascii="黑体" w:hAnsi="黑体" w:eastAsia="黑体" w:cs="黑体"/>
          <w:b/>
          <w:bCs/>
          <w:color w:val="000000"/>
          <w:sz w:val="26"/>
          <w:szCs w:val="26"/>
        </w:rPr>
        <w:t>9.2.2 AR屯堡导览系统</w:t>
      </w:r>
      <w:bookmarkEnd w:id="253"/>
    </w:p>
    <w:p w14:paraId="06B3B1EE">
      <w:pPr>
        <w:spacing w:after="120" w:line="360" w:lineRule="auto"/>
        <w:jc w:val="both"/>
      </w:pPr>
      <w:r>
        <w:rPr>
          <w:rFonts w:ascii="宋体" w:hAnsi="宋体" w:eastAsia="宋体" w:cs="宋体"/>
          <w:sz w:val="24"/>
          <w:szCs w:val="24"/>
        </w:rPr>
        <w:t>AR导览将数字信息叠加到真实的屯堡场景上，增强现场参观的体验。</w:t>
      </w:r>
    </w:p>
    <w:p w14:paraId="75638C87">
      <w:pPr>
        <w:spacing w:after="120" w:line="360" w:lineRule="auto"/>
        <w:jc w:val="both"/>
      </w:pPr>
      <w:r>
        <w:rPr>
          <w:rFonts w:ascii="宋体" w:hAnsi="宋体" w:eastAsia="宋体" w:cs="宋体"/>
          <w:b/>
          <w:bCs/>
          <w:sz w:val="24"/>
          <w:szCs w:val="24"/>
        </w:rPr>
        <w:t>建筑信息叠加。</w:t>
      </w:r>
      <w:r>
        <w:rPr>
          <w:rFonts w:ascii="宋体" w:hAnsi="宋体" w:eastAsia="宋体" w:cs="宋体"/>
          <w:sz w:val="24"/>
          <w:szCs w:val="24"/>
        </w:rPr>
        <w:t xml:space="preserve"> 游客用手机或AR眼镜对准一栋古建筑，屏幕/镜片上叠加显示该建筑的结构解析图、建造年代、修缮记录、历史照片等。特别有价值的是"透视"功能——可以看到石墙内部的木构架结构、石板屋顶下的椽子排列。</w:t>
      </w:r>
    </w:p>
    <w:p w14:paraId="1D3D2D45">
      <w:pPr>
        <w:spacing w:after="120" w:line="360" w:lineRule="auto"/>
        <w:jc w:val="both"/>
      </w:pPr>
      <w:r>
        <w:rPr>
          <w:rFonts w:ascii="宋体" w:hAnsi="宋体" w:eastAsia="宋体" w:cs="宋体"/>
          <w:b/>
          <w:bCs/>
          <w:sz w:val="24"/>
          <w:szCs w:val="24"/>
        </w:rPr>
        <w:t>历史场景复原。</w:t>
      </w:r>
      <w:r>
        <w:rPr>
          <w:rFonts w:ascii="宋体" w:hAnsi="宋体" w:eastAsia="宋体" w:cs="宋体"/>
          <w:sz w:val="24"/>
          <w:szCs w:val="24"/>
        </w:rPr>
        <w:t xml:space="preserve"> 在遗址或已变迁的地点，AR可以叠加历史场景的复原影像。例如，在云山屯已经消失的古驿道驿站位置，AR显示驿站的复原模型和历史人物动画。</w:t>
      </w:r>
    </w:p>
    <w:p w14:paraId="1092CED4">
      <w:pPr>
        <w:spacing w:after="120" w:line="360" w:lineRule="auto"/>
        <w:jc w:val="both"/>
      </w:pPr>
      <w:r>
        <w:rPr>
          <w:rFonts w:ascii="宋体" w:hAnsi="宋体" w:eastAsia="宋体" w:cs="宋体"/>
          <w:b/>
          <w:bCs/>
          <w:sz w:val="24"/>
          <w:szCs w:val="24"/>
        </w:rPr>
        <w:t>游戏化探索。</w:t>
      </w:r>
      <w:r>
        <w:rPr>
          <w:rFonts w:ascii="宋体" w:hAnsi="宋体" w:eastAsia="宋体" w:cs="宋体"/>
          <w:sz w:val="24"/>
          <w:szCs w:val="24"/>
        </w:rPr>
        <w:t xml:space="preserve"> 设计AR寻宝游戏——游客在村寨中根据线索寻找隐藏的"文化密码"，找到后通过AR解锁相应的知识内容。这种游戏化设计特别受青少年游客欢迎。</w:t>
      </w:r>
    </w:p>
    <w:p w14:paraId="21172157">
      <w:pPr>
        <w:spacing w:after="120" w:line="360" w:lineRule="auto"/>
        <w:jc w:val="both"/>
      </w:pPr>
      <w:r>
        <w:rPr>
          <w:rFonts w:ascii="宋体" w:hAnsi="宋体" w:eastAsia="宋体" w:cs="宋体"/>
          <w:b/>
          <w:bCs/>
          <w:sz w:val="24"/>
          <w:szCs w:val="24"/>
        </w:rPr>
        <w:t>传承人虚拟讲解。</w:t>
      </w:r>
      <w:r>
        <w:rPr>
          <w:rFonts w:ascii="宋体" w:hAnsi="宋体" w:eastAsia="宋体" w:cs="宋体"/>
          <w:sz w:val="24"/>
          <w:szCs w:val="24"/>
        </w:rPr>
        <w:t xml:space="preserve"> 在地戏表演场地、手工艺作坊等地点，AR可以呈现传承人的虚拟形象，为游客进行"面对面"讲解和演示。</w:t>
      </w:r>
    </w:p>
    <w:p w14:paraId="0DCAFEE3">
      <w:pPr>
        <w:pStyle w:val="4"/>
        <w:spacing w:before="300" w:after="200"/>
      </w:pPr>
      <w:bookmarkStart w:id="254" w:name="_Toc19703"/>
      <w:r>
        <w:rPr>
          <w:rFonts w:ascii="黑体" w:hAnsi="黑体" w:eastAsia="黑体" w:cs="黑体"/>
          <w:b/>
          <w:bCs/>
          <w:color w:val="000000"/>
          <w:sz w:val="26"/>
          <w:szCs w:val="26"/>
        </w:rPr>
        <w:t>9.2.3 MR混合现实体验</w:t>
      </w:r>
      <w:bookmarkEnd w:id="254"/>
    </w:p>
    <w:p w14:paraId="467030F8">
      <w:pPr>
        <w:spacing w:after="120" w:line="360" w:lineRule="auto"/>
        <w:jc w:val="both"/>
      </w:pPr>
      <w:r>
        <w:rPr>
          <w:rFonts w:ascii="宋体" w:hAnsi="宋体" w:eastAsia="宋体" w:cs="宋体"/>
          <w:sz w:val="24"/>
          <w:szCs w:val="24"/>
        </w:rPr>
        <w:t>MR技术将虚拟对象与现实环境无缝融合，为文化遗产体验提供了新的可能。</w:t>
      </w:r>
    </w:p>
    <w:p w14:paraId="0929BB7D">
      <w:pPr>
        <w:spacing w:after="120" w:line="360" w:lineRule="auto"/>
        <w:jc w:val="both"/>
      </w:pPr>
      <w:r>
        <w:rPr>
          <w:rFonts w:ascii="宋体" w:hAnsi="宋体" w:eastAsia="宋体" w:cs="宋体"/>
          <w:b/>
          <w:bCs/>
          <w:sz w:val="24"/>
          <w:szCs w:val="24"/>
        </w:rPr>
        <w:t>虚拟文物"回到"原位。</w:t>
      </w:r>
      <w:r>
        <w:rPr>
          <w:rFonts w:ascii="宋体" w:hAnsi="宋体" w:eastAsia="宋体" w:cs="宋体"/>
          <w:sz w:val="24"/>
          <w:szCs w:val="24"/>
        </w:rPr>
        <w:t xml:space="preserve"> 对于已经移入博物馆收藏的珍贵地戏面具或建筑构件，MR可以将其虚拟副本"放回"原始位置。游客在村寨中看到的是现存环境，但通过MR眼镜可以看到历史上完整的文化场景。</w:t>
      </w:r>
    </w:p>
    <w:p w14:paraId="3B24D9CE">
      <w:pPr>
        <w:spacing w:after="120" w:line="360" w:lineRule="auto"/>
        <w:jc w:val="both"/>
      </w:pPr>
      <w:r>
        <w:rPr>
          <w:rFonts w:ascii="宋体" w:hAnsi="宋体" w:eastAsia="宋体" w:cs="宋体"/>
          <w:b/>
          <w:bCs/>
          <w:sz w:val="24"/>
          <w:szCs w:val="24"/>
        </w:rPr>
        <w:t>虚拟传承人"现场"教学。</w:t>
      </w:r>
      <w:r>
        <w:rPr>
          <w:rFonts w:ascii="宋体" w:hAnsi="宋体" w:eastAsia="宋体" w:cs="宋体"/>
          <w:sz w:val="24"/>
          <w:szCs w:val="24"/>
        </w:rPr>
        <w:t xml:space="preserve"> 传承人虽然可能不在现场，但其全息影像可以通过MR技术在真实的工坊中"出现"，指导游客学习面具雕刻或服饰制作。</w:t>
      </w:r>
    </w:p>
    <w:p w14:paraId="219825B0">
      <w:pPr>
        <w:pStyle w:val="3"/>
        <w:spacing w:before="300" w:after="200"/>
      </w:pPr>
      <w:bookmarkStart w:id="255" w:name="_Toc14916"/>
      <w:r>
        <w:rPr>
          <w:rFonts w:ascii="黑体" w:hAnsi="黑体" w:eastAsia="黑体" w:cs="黑体"/>
          <w:b/>
          <w:bCs/>
          <w:color w:val="000000"/>
          <w:sz w:val="28"/>
          <w:szCs w:val="28"/>
        </w:rPr>
        <w:t>9.3 线下沉浸式体验设计</w:t>
      </w:r>
      <w:bookmarkEnd w:id="255"/>
    </w:p>
    <w:p w14:paraId="005A546D">
      <w:pPr>
        <w:pStyle w:val="4"/>
        <w:spacing w:before="300" w:after="200"/>
      </w:pPr>
      <w:bookmarkStart w:id="256" w:name="_Toc16063"/>
      <w:r>
        <w:rPr>
          <w:rFonts w:ascii="黑体" w:hAnsi="黑体" w:eastAsia="黑体" w:cs="黑体"/>
          <w:b/>
          <w:bCs/>
          <w:color w:val="000000"/>
          <w:sz w:val="26"/>
          <w:szCs w:val="26"/>
        </w:rPr>
        <w:t>9.3.1 沉浸式剧场</w:t>
      </w:r>
      <w:bookmarkEnd w:id="256"/>
    </w:p>
    <w:p w14:paraId="7004193B">
      <w:pPr>
        <w:spacing w:after="120" w:line="360" w:lineRule="auto"/>
        <w:jc w:val="both"/>
      </w:pPr>
      <w:r>
        <w:rPr>
          <w:rFonts w:ascii="宋体" w:hAnsi="宋体" w:eastAsia="宋体" w:cs="宋体"/>
          <w:sz w:val="24"/>
          <w:szCs w:val="24"/>
        </w:rPr>
        <w:t>沉浸式剧场是屯堡文化旅游最具潜力的沉浸式体验形式之一。</w:t>
      </w:r>
    </w:p>
    <w:p w14:paraId="5990840E">
      <w:pPr>
        <w:spacing w:after="120" w:line="360" w:lineRule="auto"/>
        <w:jc w:val="both"/>
      </w:pPr>
      <w:r>
        <w:rPr>
          <w:rFonts w:ascii="宋体" w:hAnsi="宋体" w:eastAsia="宋体" w:cs="宋体"/>
          <w:b/>
          <w:bCs/>
          <w:sz w:val="24"/>
          <w:szCs w:val="24"/>
        </w:rPr>
        <w:t>选题策略。</w:t>
      </w:r>
      <w:r>
        <w:rPr>
          <w:rFonts w:ascii="宋体" w:hAnsi="宋体" w:eastAsia="宋体" w:cs="宋体"/>
          <w:sz w:val="24"/>
          <w:szCs w:val="24"/>
        </w:rPr>
        <w:t xml:space="preserve"> 沉浸式剧场的主题应取自屯堡文化的核心IP。除了前述的"地戏穿越"（军事主题），还可以开发："凤阳汉装"——以一件传家服饰为线索，讲述六百年间屯堡女性的故事；"石头记"——以古建筑为舞台，讲述屯堡村寨的建造与守护；"汪公巡游"——以"抬汪公"仪式为蓝本，讲述屯堡人的信仰世界。</w:t>
      </w:r>
    </w:p>
    <w:p w14:paraId="198FD247">
      <w:pPr>
        <w:spacing w:after="120" w:line="360" w:lineRule="auto"/>
        <w:jc w:val="both"/>
      </w:pPr>
      <w:r>
        <w:rPr>
          <w:rFonts w:ascii="宋体" w:hAnsi="宋体" w:eastAsia="宋体" w:cs="宋体"/>
          <w:b/>
          <w:bCs/>
          <w:sz w:val="24"/>
          <w:szCs w:val="24"/>
        </w:rPr>
        <w:t>空间设计。</w:t>
      </w:r>
      <w:r>
        <w:rPr>
          <w:rFonts w:ascii="宋体" w:hAnsi="宋体" w:eastAsia="宋体" w:cs="宋体"/>
          <w:sz w:val="24"/>
          <w:szCs w:val="24"/>
        </w:rPr>
        <w:t xml:space="preserve"> 利用屯堡建筑本身就是"天然舞台"的优势——巷道、天井、碉楼、演武场、庙宇，每个空间都是剧场的有机组成部分。观众随着剧情的发展在不同空间之间移动，建筑本身成为叙事的一部分。</w:t>
      </w:r>
    </w:p>
    <w:p w14:paraId="35390489">
      <w:pPr>
        <w:spacing w:after="120" w:line="360" w:lineRule="auto"/>
        <w:jc w:val="both"/>
      </w:pPr>
      <w:r>
        <w:rPr>
          <w:rFonts w:ascii="宋体" w:hAnsi="宋体" w:eastAsia="宋体" w:cs="宋体"/>
          <w:b/>
          <w:bCs/>
          <w:sz w:val="24"/>
          <w:szCs w:val="24"/>
        </w:rPr>
        <w:t>角色设计。</w:t>
      </w:r>
      <w:r>
        <w:rPr>
          <w:rFonts w:ascii="宋体" w:hAnsi="宋体" w:eastAsia="宋体" w:cs="宋体"/>
          <w:sz w:val="24"/>
          <w:szCs w:val="24"/>
        </w:rPr>
        <w:t xml:space="preserve"> 角色应基于真实的历史人物或典型人物原型，避免脸谱化和刻板印象。可以设计"双线叙事"——一条线是历史故事，一条线是当代传承，两条线在剧情高潮处交汇。</w:t>
      </w:r>
    </w:p>
    <w:p w14:paraId="7CB7CD7D">
      <w:pPr>
        <w:spacing w:after="120" w:line="360" w:lineRule="auto"/>
        <w:jc w:val="both"/>
      </w:pPr>
      <w:r>
        <w:rPr>
          <w:rFonts w:ascii="宋体" w:hAnsi="宋体" w:eastAsia="宋体" w:cs="宋体"/>
          <w:b/>
          <w:bCs/>
          <w:sz w:val="24"/>
          <w:szCs w:val="24"/>
        </w:rPr>
        <w:t>参与设计。</w:t>
      </w:r>
      <w:r>
        <w:rPr>
          <w:rFonts w:ascii="宋体" w:hAnsi="宋体" w:eastAsia="宋体" w:cs="宋体"/>
          <w:sz w:val="24"/>
          <w:szCs w:val="24"/>
        </w:rPr>
        <w:t xml:space="preserve"> 观众的参与度可以分级：轻度参与——观众自由走动观看，偶尔被演员搭话；中度参与——观众被分配简单的任务（如传递消息、搬运道具）；深度参与——观众扮演有台词的角色，影响剧情走向。</w:t>
      </w:r>
    </w:p>
    <w:p w14:paraId="6A549F5D">
      <w:pPr>
        <w:pStyle w:val="4"/>
        <w:spacing w:before="300" w:after="200"/>
      </w:pPr>
      <w:bookmarkStart w:id="257" w:name="_Toc28246"/>
      <w:r>
        <w:rPr>
          <w:rFonts w:ascii="黑体" w:hAnsi="黑体" w:eastAsia="黑体" w:cs="黑体"/>
          <w:b/>
          <w:bCs/>
          <w:color w:val="000000"/>
          <w:sz w:val="26"/>
          <w:szCs w:val="26"/>
        </w:rPr>
        <w:t>9.3.2 沉浸式光影秀</w:t>
      </w:r>
      <w:bookmarkEnd w:id="257"/>
    </w:p>
    <w:p w14:paraId="6BA9C6E3">
      <w:pPr>
        <w:spacing w:after="120" w:line="360" w:lineRule="auto"/>
        <w:jc w:val="both"/>
      </w:pPr>
      <w:r>
        <w:rPr>
          <w:rFonts w:ascii="宋体" w:hAnsi="宋体" w:eastAsia="宋体" w:cs="宋体"/>
          <w:sz w:val="24"/>
          <w:szCs w:val="24"/>
        </w:rPr>
        <w:t>以屯堡建筑为"画布"，利用投影映射（Projection Mapping）技术打造夜间光影秀。</w:t>
      </w:r>
    </w:p>
    <w:p w14:paraId="7101D9B9">
      <w:pPr>
        <w:spacing w:after="120" w:line="360" w:lineRule="auto"/>
        <w:jc w:val="both"/>
      </w:pPr>
      <w:r>
        <w:rPr>
          <w:rFonts w:ascii="宋体" w:hAnsi="宋体" w:eastAsia="宋体" w:cs="宋体"/>
          <w:b/>
          <w:bCs/>
          <w:sz w:val="24"/>
          <w:szCs w:val="24"/>
        </w:rPr>
        <w:t>内容设计。</w:t>
      </w:r>
      <w:r>
        <w:rPr>
          <w:rFonts w:ascii="宋体" w:hAnsi="宋体" w:eastAsia="宋体" w:cs="宋体"/>
          <w:sz w:val="24"/>
          <w:szCs w:val="24"/>
        </w:rPr>
        <w:t xml:space="preserve"> 光影秀的内容可以讲述屯堡的历史故事——从"调北征南"到卫所建立，从六百年坚守到当代活化。投影画面与建筑的轮廓、纹理精确匹配，使静态的建筑"动"起来。</w:t>
      </w:r>
    </w:p>
    <w:p w14:paraId="76777FA5">
      <w:pPr>
        <w:spacing w:after="120" w:line="360" w:lineRule="auto"/>
        <w:jc w:val="both"/>
      </w:pPr>
      <w:r>
        <w:rPr>
          <w:rFonts w:ascii="宋体" w:hAnsi="宋体" w:eastAsia="宋体" w:cs="宋体"/>
          <w:b/>
          <w:bCs/>
          <w:sz w:val="24"/>
          <w:szCs w:val="24"/>
        </w:rPr>
        <w:t>技术创新。</w:t>
      </w:r>
      <w:r>
        <w:rPr>
          <w:rFonts w:ascii="宋体" w:hAnsi="宋体" w:eastAsia="宋体" w:cs="宋体"/>
          <w:sz w:val="24"/>
          <w:szCs w:val="24"/>
        </w:rPr>
        <w:t xml:space="preserve"> 结合声光电雾等多媒体手段，创造多感官沉浸体验。例如，表现"烽火连天"时配合烟雾和热感装置，表现"石破天惊"时配合地面振动。</w:t>
      </w:r>
    </w:p>
    <w:p w14:paraId="3478B2B6">
      <w:pPr>
        <w:spacing w:after="120" w:line="360" w:lineRule="auto"/>
        <w:jc w:val="both"/>
      </w:pPr>
      <w:r>
        <w:rPr>
          <w:rFonts w:ascii="宋体" w:hAnsi="宋体" w:eastAsia="宋体" w:cs="宋体"/>
          <w:b/>
          <w:bCs/>
          <w:sz w:val="24"/>
          <w:szCs w:val="24"/>
        </w:rPr>
        <w:t>注意事项。</w:t>
      </w:r>
      <w:r>
        <w:rPr>
          <w:rFonts w:ascii="宋体" w:hAnsi="宋体" w:eastAsia="宋体" w:cs="宋体"/>
          <w:sz w:val="24"/>
          <w:szCs w:val="24"/>
        </w:rPr>
        <w:t xml:space="preserve"> 光影秀的光线强度和时间应控制在不对古建筑造成光损害的范围内，音响音量不应对居民和文物造成干扰。</w:t>
      </w:r>
    </w:p>
    <w:p w14:paraId="30D80B21">
      <w:pPr>
        <w:pStyle w:val="4"/>
        <w:spacing w:before="300" w:after="200"/>
      </w:pPr>
      <w:bookmarkStart w:id="258" w:name="_Toc491"/>
      <w:r>
        <w:rPr>
          <w:rFonts w:ascii="黑体" w:hAnsi="黑体" w:eastAsia="黑体" w:cs="黑体"/>
          <w:b/>
          <w:bCs/>
          <w:color w:val="000000"/>
          <w:sz w:val="26"/>
          <w:szCs w:val="26"/>
        </w:rPr>
        <w:t>9.3.3 沉浸式工坊</w:t>
      </w:r>
      <w:bookmarkEnd w:id="258"/>
    </w:p>
    <w:p w14:paraId="43E3C602">
      <w:pPr>
        <w:spacing w:after="120" w:line="360" w:lineRule="auto"/>
        <w:jc w:val="both"/>
      </w:pPr>
      <w:r>
        <w:rPr>
          <w:rFonts w:ascii="宋体" w:hAnsi="宋体" w:eastAsia="宋体" w:cs="宋体"/>
          <w:sz w:val="24"/>
          <w:szCs w:val="24"/>
        </w:rPr>
        <w:t>沉浸式工坊是手工艺体验的升级版，不只是"做一件手工艺品"，而是"进入一个手工艺人的世界"。</w:t>
      </w:r>
    </w:p>
    <w:p w14:paraId="71400A33">
      <w:pPr>
        <w:spacing w:after="120" w:line="360" w:lineRule="auto"/>
        <w:jc w:val="both"/>
      </w:pPr>
      <w:r>
        <w:rPr>
          <w:rFonts w:ascii="宋体" w:hAnsi="宋体" w:eastAsia="宋体" w:cs="宋体"/>
          <w:b/>
          <w:bCs/>
          <w:sz w:val="24"/>
          <w:szCs w:val="24"/>
        </w:rPr>
        <w:t>环境营造。</w:t>
      </w:r>
      <w:r>
        <w:rPr>
          <w:rFonts w:ascii="宋体" w:hAnsi="宋体" w:eastAsia="宋体" w:cs="宋体"/>
          <w:sz w:val="24"/>
          <w:szCs w:val="24"/>
        </w:rPr>
        <w:t xml:space="preserve"> 工坊空间按照传统作坊的风格布置——木料、工具、半成品、成品按工序排列，营造出真实的工艺生产氛围。</w:t>
      </w:r>
    </w:p>
    <w:p w14:paraId="7B2D695D">
      <w:pPr>
        <w:spacing w:after="120" w:line="360" w:lineRule="auto"/>
        <w:jc w:val="both"/>
      </w:pPr>
      <w:r>
        <w:rPr>
          <w:rFonts w:ascii="宋体" w:hAnsi="宋体" w:eastAsia="宋体" w:cs="宋体"/>
          <w:b/>
          <w:bCs/>
          <w:sz w:val="24"/>
          <w:szCs w:val="24"/>
        </w:rPr>
        <w:t>流程设计。</w:t>
      </w:r>
      <w:r>
        <w:rPr>
          <w:rFonts w:ascii="宋体" w:hAnsi="宋体" w:eastAsia="宋体" w:cs="宋体"/>
          <w:sz w:val="24"/>
          <w:szCs w:val="24"/>
        </w:rPr>
        <w:t xml:space="preserve"> 体验流程模拟真实的生产过程。以面具雕刻为例：选料（了解不同木材的特性）→ 粗坯（用凿子和木槌开出面具的基本形状）→ 细雕（用刻刀雕出五官和表情）→ 打磨（用砂纸打磨光滑）→ 上色（按照传统色彩体系上色）。体验者不需要完成所有工序（完整雕刻一个面具需要数天），但每个工序都亲手尝试。</w:t>
      </w:r>
    </w:p>
    <w:p w14:paraId="407CC2C6">
      <w:pPr>
        <w:spacing w:after="120" w:line="360" w:lineRule="auto"/>
        <w:jc w:val="both"/>
      </w:pPr>
      <w:r>
        <w:rPr>
          <w:rFonts w:ascii="宋体" w:hAnsi="宋体" w:eastAsia="宋体" w:cs="宋体"/>
          <w:b/>
          <w:bCs/>
          <w:sz w:val="24"/>
          <w:szCs w:val="24"/>
        </w:rPr>
        <w:t>知识传递。</w:t>
      </w:r>
      <w:r>
        <w:rPr>
          <w:rFonts w:ascii="宋体" w:hAnsi="宋体" w:eastAsia="宋体" w:cs="宋体"/>
          <w:sz w:val="24"/>
          <w:szCs w:val="24"/>
        </w:rPr>
        <w:t xml:space="preserve"> 在体验过程中，传承人讲解每个工序背后的文化意义——为什么关公面具是红色的？为什么头盔上要刻龙纹？——将"动手"与"动脑"相结合。</w:t>
      </w:r>
    </w:p>
    <w:p w14:paraId="6069B0F6">
      <w:pPr>
        <w:pStyle w:val="3"/>
        <w:spacing w:before="300" w:after="200"/>
      </w:pPr>
      <w:bookmarkStart w:id="259" w:name="_Toc5071"/>
      <w:r>
        <w:rPr>
          <w:rFonts w:ascii="黑体" w:hAnsi="黑体" w:eastAsia="黑体" w:cs="黑体"/>
          <w:b/>
          <w:bCs/>
          <w:color w:val="000000"/>
          <w:sz w:val="28"/>
          <w:szCs w:val="28"/>
        </w:rPr>
        <w:t>9.4 游戏化设计</w:t>
      </w:r>
      <w:bookmarkEnd w:id="259"/>
    </w:p>
    <w:p w14:paraId="4875BAD1">
      <w:pPr>
        <w:pStyle w:val="4"/>
        <w:spacing w:before="300" w:after="200"/>
      </w:pPr>
      <w:bookmarkStart w:id="260" w:name="_Toc7462"/>
      <w:r>
        <w:rPr>
          <w:rFonts w:ascii="黑体" w:hAnsi="黑体" w:eastAsia="黑体" w:cs="黑体"/>
          <w:b/>
          <w:bCs/>
          <w:color w:val="000000"/>
          <w:sz w:val="26"/>
          <w:szCs w:val="26"/>
        </w:rPr>
        <w:t>9.4.1 游戏化原理</w:t>
      </w:r>
      <w:bookmarkEnd w:id="260"/>
    </w:p>
    <w:p w14:paraId="4F614289">
      <w:pPr>
        <w:spacing w:after="120" w:line="360" w:lineRule="auto"/>
        <w:jc w:val="both"/>
      </w:pPr>
      <w:r>
        <w:rPr>
          <w:rFonts w:ascii="宋体" w:hAnsi="宋体" w:eastAsia="宋体" w:cs="宋体"/>
          <w:sz w:val="24"/>
          <w:szCs w:val="24"/>
        </w:rPr>
        <w:t>游戏化（Gamification）是将游戏设计元素（积分、徽章、排行榜、关卡、挑战等）应用于非游戏场景，激发参与者的动机和投入度。</w:t>
      </w:r>
    </w:p>
    <w:p w14:paraId="597472D3">
      <w:pPr>
        <w:spacing w:after="120" w:line="360" w:lineRule="auto"/>
        <w:jc w:val="both"/>
      </w:pPr>
      <w:r>
        <w:rPr>
          <w:rFonts w:ascii="宋体" w:hAnsi="宋体" w:eastAsia="宋体" w:cs="宋体"/>
          <w:sz w:val="24"/>
          <w:szCs w:val="24"/>
        </w:rPr>
        <w:t>在文化遗产旅游中，游戏化可以解决一个核心问题：如何让"学习文化知识"从负担变成乐趣？</w:t>
      </w:r>
    </w:p>
    <w:p w14:paraId="7E3F7302">
      <w:pPr>
        <w:pStyle w:val="4"/>
        <w:spacing w:before="300" w:after="200"/>
      </w:pPr>
      <w:bookmarkStart w:id="261" w:name="_Toc5450"/>
      <w:r>
        <w:rPr>
          <w:rFonts w:ascii="黑体" w:hAnsi="黑体" w:eastAsia="黑体" w:cs="黑体"/>
          <w:b/>
          <w:bCs/>
          <w:color w:val="000000"/>
          <w:sz w:val="26"/>
          <w:szCs w:val="26"/>
        </w:rPr>
        <w:t>9.4.2 屯堡文化游戏化方案</w:t>
      </w:r>
      <w:bookmarkEnd w:id="261"/>
    </w:p>
    <w:p w14:paraId="684A0B09">
      <w:pPr>
        <w:spacing w:after="120" w:line="360" w:lineRule="auto"/>
        <w:jc w:val="both"/>
      </w:pPr>
      <w:r>
        <w:rPr>
          <w:rFonts w:ascii="宋体" w:hAnsi="宋体" w:eastAsia="宋体" w:cs="宋体"/>
          <w:b/>
          <w:bCs/>
          <w:sz w:val="24"/>
          <w:szCs w:val="24"/>
        </w:rPr>
        <w:t>"屯堡探秘"实景解谜游戏。</w:t>
      </w:r>
      <w:r>
        <w:rPr>
          <w:rFonts w:ascii="宋体" w:hAnsi="宋体" w:eastAsia="宋体" w:cs="宋体"/>
          <w:sz w:val="24"/>
          <w:szCs w:val="24"/>
        </w:rPr>
        <w:t xml:space="preserve"> 将村寨变为一个大型实景解谜游戏的场地。游客扮演"调查员"，根据手机App上的线索，在村寨中寻找隐藏的文化密码，解开与屯堡历史相关的谜题。每解开一个谜题，解锁一段知识内容。完成全部谜题后获得"屯堡文化达人"数字徽章。</w:t>
      </w:r>
    </w:p>
    <w:p w14:paraId="2B4D0206">
      <w:pPr>
        <w:spacing w:after="120" w:line="360" w:lineRule="auto"/>
        <w:jc w:val="both"/>
      </w:pPr>
      <w:r>
        <w:rPr>
          <w:rFonts w:ascii="宋体" w:hAnsi="宋体" w:eastAsia="宋体" w:cs="宋体"/>
          <w:b/>
          <w:bCs/>
          <w:sz w:val="24"/>
          <w:szCs w:val="24"/>
        </w:rPr>
        <w:t>"地戏传承人"角色扮演游戏。</w:t>
      </w:r>
      <w:r>
        <w:rPr>
          <w:rFonts w:ascii="宋体" w:hAnsi="宋体" w:eastAsia="宋体" w:cs="宋体"/>
          <w:sz w:val="24"/>
          <w:szCs w:val="24"/>
        </w:rPr>
        <w:t xml:space="preserve"> 游客在导览过程中选择扮演一个地戏角色（关羽、张飞、薛仁贵等），完成一系列与该角色相关的任务——学习该角色的唱腔、动作、面具知识——积累"传承值"。完成所有任务后获得"准传承人"证书。</w:t>
      </w:r>
    </w:p>
    <w:p w14:paraId="38BC8394">
      <w:pPr>
        <w:spacing w:after="120" w:line="360" w:lineRule="auto"/>
        <w:jc w:val="both"/>
      </w:pPr>
      <w:r>
        <w:rPr>
          <w:rFonts w:ascii="宋体" w:hAnsi="宋体" w:eastAsia="宋体" w:cs="宋体"/>
          <w:b/>
          <w:bCs/>
          <w:sz w:val="24"/>
          <w:szCs w:val="24"/>
        </w:rPr>
        <w:t>"屯堡大富翁"桌游。</w:t>
      </w:r>
      <w:r>
        <w:rPr>
          <w:rFonts w:ascii="宋体" w:hAnsi="宋体" w:eastAsia="宋体" w:cs="宋体"/>
          <w:sz w:val="24"/>
          <w:szCs w:val="24"/>
        </w:rPr>
        <w:t xml:space="preserve"> 开发以屯堡文化为主题的桌面游戏，玩家通过掷骰子在屯堡村寨地图上移动，购买"文化资产"（古建筑、非遗项目），完成"文化任务"（答对知识题），目标是成为"屯堡文化守护者"。桌游既可以作为旅游纪念品销售，也可以作为文化教育工具。</w:t>
      </w:r>
    </w:p>
    <w:p w14:paraId="43B8EF50">
      <w:pPr>
        <w:pStyle w:val="3"/>
        <w:spacing w:before="300" w:after="200"/>
      </w:pPr>
      <w:bookmarkStart w:id="262" w:name="_Toc15573"/>
      <w:r>
        <w:rPr>
          <w:rFonts w:ascii="黑体" w:hAnsi="黑体" w:eastAsia="黑体" w:cs="黑体"/>
          <w:b/>
          <w:bCs/>
          <w:color w:val="000000"/>
          <w:sz w:val="28"/>
          <w:szCs w:val="28"/>
        </w:rPr>
        <w:t>9.5 沉浸式体验的评估与优化</w:t>
      </w:r>
      <w:bookmarkEnd w:id="262"/>
    </w:p>
    <w:p w14:paraId="5C645C1C">
      <w:pPr>
        <w:pStyle w:val="4"/>
        <w:spacing w:before="300" w:after="200"/>
      </w:pPr>
      <w:bookmarkStart w:id="263" w:name="_Toc28926"/>
      <w:r>
        <w:rPr>
          <w:rFonts w:ascii="黑体" w:hAnsi="黑体" w:eastAsia="黑体" w:cs="黑体"/>
          <w:b/>
          <w:bCs/>
          <w:color w:val="000000"/>
          <w:sz w:val="26"/>
          <w:szCs w:val="26"/>
        </w:rPr>
        <w:t>9.5.1 体验质量评估</w:t>
      </w:r>
      <w:bookmarkEnd w:id="263"/>
    </w:p>
    <w:p w14:paraId="3C506F9C">
      <w:pPr>
        <w:spacing w:after="120" w:line="360" w:lineRule="auto"/>
        <w:jc w:val="both"/>
      </w:pPr>
      <w:r>
        <w:rPr>
          <w:rFonts w:ascii="宋体" w:hAnsi="宋体" w:eastAsia="宋体" w:cs="宋体"/>
          <w:sz w:val="24"/>
          <w:szCs w:val="24"/>
        </w:rPr>
        <w:t>沉浸式体验的质量评估应关注以下维度：</w:t>
      </w:r>
    </w:p>
    <w:p w14:paraId="04476190">
      <w:pPr>
        <w:spacing w:after="120" w:line="360" w:lineRule="auto"/>
        <w:jc w:val="both"/>
      </w:pPr>
      <w:r>
        <w:rPr>
          <w:rFonts w:ascii="宋体" w:hAnsi="宋体" w:eastAsia="宋体" w:cs="宋体"/>
          <w:b/>
          <w:bCs/>
          <w:sz w:val="24"/>
          <w:szCs w:val="24"/>
        </w:rPr>
        <w:t>沉浸感。</w:t>
      </w:r>
      <w:r>
        <w:rPr>
          <w:rFonts w:ascii="宋体" w:hAnsi="宋体" w:eastAsia="宋体" w:cs="宋体"/>
          <w:sz w:val="24"/>
          <w:szCs w:val="24"/>
        </w:rPr>
        <w:t xml:space="preserve"> 参与者多大程度上感到"身临其境"？可通过问卷调查（如沉浸感量表）和生理指标（心率、皮肤电导）测量。</w:t>
      </w:r>
    </w:p>
    <w:p w14:paraId="6BC4A766">
      <w:pPr>
        <w:spacing w:after="120" w:line="360" w:lineRule="auto"/>
        <w:jc w:val="both"/>
      </w:pPr>
      <w:r>
        <w:rPr>
          <w:rFonts w:ascii="宋体" w:hAnsi="宋体" w:eastAsia="宋体" w:cs="宋体"/>
          <w:b/>
          <w:bCs/>
          <w:sz w:val="24"/>
          <w:szCs w:val="24"/>
        </w:rPr>
        <w:t>教育效果。</w:t>
      </w:r>
      <w:r>
        <w:rPr>
          <w:rFonts w:ascii="宋体" w:hAnsi="宋体" w:eastAsia="宋体" w:cs="宋体"/>
          <w:sz w:val="24"/>
          <w:szCs w:val="24"/>
        </w:rPr>
        <w:t xml:space="preserve"> 参与者学到了什么知识？知识记忆的持久性如何？可通过体验前后的知识测验对比评估。</w:t>
      </w:r>
    </w:p>
    <w:p w14:paraId="650209E3">
      <w:pPr>
        <w:spacing w:after="120" w:line="360" w:lineRule="auto"/>
        <w:jc w:val="both"/>
      </w:pPr>
      <w:r>
        <w:rPr>
          <w:rFonts w:ascii="宋体" w:hAnsi="宋体" w:eastAsia="宋体" w:cs="宋体"/>
          <w:b/>
          <w:bCs/>
          <w:sz w:val="24"/>
          <w:szCs w:val="24"/>
        </w:rPr>
        <w:t>情感影响。</w:t>
      </w:r>
      <w:r>
        <w:rPr>
          <w:rFonts w:ascii="宋体" w:hAnsi="宋体" w:eastAsia="宋体" w:cs="宋体"/>
          <w:sz w:val="24"/>
          <w:szCs w:val="24"/>
        </w:rPr>
        <w:t xml:space="preserve"> 体验引发了怎样的情感反应？可通过情感量表和行为观察评估。</w:t>
      </w:r>
    </w:p>
    <w:p w14:paraId="7F700867">
      <w:pPr>
        <w:spacing w:after="120" w:line="360" w:lineRule="auto"/>
        <w:jc w:val="both"/>
      </w:pPr>
      <w:r>
        <w:rPr>
          <w:rFonts w:ascii="宋体" w:hAnsi="宋体" w:eastAsia="宋体" w:cs="宋体"/>
          <w:b/>
          <w:bCs/>
          <w:sz w:val="24"/>
          <w:szCs w:val="24"/>
        </w:rPr>
        <w:t>满意度。</w:t>
      </w:r>
      <w:r>
        <w:rPr>
          <w:rFonts w:ascii="宋体" w:hAnsi="宋体" w:eastAsia="宋体" w:cs="宋体"/>
          <w:sz w:val="24"/>
          <w:szCs w:val="24"/>
        </w:rPr>
        <w:t xml:space="preserve"> 参与者对体验的整体满意度？是否愿意推荐给他人？可通过问卷调查和在线评分评估。</w:t>
      </w:r>
    </w:p>
    <w:p w14:paraId="434059E8">
      <w:pPr>
        <w:pStyle w:val="4"/>
        <w:spacing w:before="300" w:after="200"/>
      </w:pPr>
      <w:bookmarkStart w:id="264" w:name="_Toc1041"/>
      <w:r>
        <w:rPr>
          <w:rFonts w:ascii="黑体" w:hAnsi="黑体" w:eastAsia="黑体" w:cs="黑体"/>
          <w:b/>
          <w:bCs/>
          <w:color w:val="000000"/>
          <w:sz w:val="26"/>
          <w:szCs w:val="26"/>
        </w:rPr>
        <w:t>9.5.2 迭代优化</w:t>
      </w:r>
      <w:bookmarkEnd w:id="264"/>
    </w:p>
    <w:p w14:paraId="42C47084">
      <w:pPr>
        <w:spacing w:after="120" w:line="360" w:lineRule="auto"/>
        <w:jc w:val="both"/>
      </w:pPr>
      <w:r>
        <w:rPr>
          <w:rFonts w:ascii="宋体" w:hAnsi="宋体" w:eastAsia="宋体" w:cs="宋体"/>
          <w:sz w:val="24"/>
          <w:szCs w:val="24"/>
        </w:rPr>
        <w:t>沉浸式体验不是"一锤子买卖"，需要持续迭代优化。建议建立"设计-测试-评估-优化"的闭环流程：每次体验后收集参与者的反馈数据，分析体验中的"痛点"和"亮点"，有针对性地调整设计方案，再次测试和评估。</w:t>
      </w:r>
    </w:p>
    <w:p w14:paraId="6232E48C">
      <w:pPr>
        <w:pStyle w:val="3"/>
        <w:spacing w:before="300" w:after="200"/>
      </w:pPr>
      <w:bookmarkStart w:id="265" w:name="_Toc27741"/>
      <w:r>
        <w:rPr>
          <w:rFonts w:ascii="黑体" w:hAnsi="黑体" w:eastAsia="黑体" w:cs="黑体"/>
          <w:b/>
          <w:bCs/>
          <w:color w:val="000000"/>
          <w:sz w:val="28"/>
          <w:szCs w:val="28"/>
        </w:rPr>
        <w:t>本章小结</w:t>
      </w:r>
      <w:bookmarkEnd w:id="265"/>
    </w:p>
    <w:p w14:paraId="5850E864">
      <w:pPr>
        <w:spacing w:after="120" w:line="360" w:lineRule="auto"/>
        <w:jc w:val="both"/>
      </w:pPr>
      <w:r>
        <w:rPr>
          <w:rFonts w:ascii="宋体" w:hAnsi="宋体" w:eastAsia="宋体" w:cs="宋体"/>
          <w:sz w:val="24"/>
          <w:szCs w:val="24"/>
        </w:rPr>
        <w:t>沉浸式体验设计是文化遗产旅游活化的重要创新方向。线上沉浸式体验以VR漫游、AR导览、MR融合为主要形式，线下沉浸式体验以沉浸式剧场、光影秀和沉浸式工坊为代表。设计应遵循原真性、教育性、参与性、可及性和安全性原则。游戏化设计可以激发游客的参与动机和学习兴趣。体验质量需要通过多维度评估和持续迭代来保障。</w:t>
      </w:r>
    </w:p>
    <w:p w14:paraId="09C4F9C0">
      <w:pPr>
        <w:pStyle w:val="3"/>
        <w:spacing w:before="300" w:after="200"/>
      </w:pPr>
      <w:bookmarkStart w:id="266" w:name="_Toc32346"/>
      <w:r>
        <w:rPr>
          <w:rFonts w:ascii="黑体" w:hAnsi="黑体" w:eastAsia="黑体" w:cs="黑体"/>
          <w:b/>
          <w:bCs/>
          <w:color w:val="000000"/>
          <w:sz w:val="28"/>
          <w:szCs w:val="28"/>
        </w:rPr>
        <w:t>思考与练习</w:t>
      </w:r>
      <w:bookmarkEnd w:id="266"/>
    </w:p>
    <w:p w14:paraId="7AAFFA34">
      <w:pPr>
        <w:pStyle w:val="19"/>
        <w:numPr>
          <w:ilvl w:val="0"/>
          <w:numId w:val="2"/>
        </w:numPr>
        <w:spacing w:after="60" w:line="340" w:lineRule="auto"/>
      </w:pPr>
      <w:r>
        <w:rPr>
          <w:rFonts w:ascii="宋体" w:hAnsi="宋体" w:eastAsia="宋体" w:cs="宋体"/>
          <w:sz w:val="24"/>
          <w:szCs w:val="24"/>
        </w:rPr>
        <w:t>为云山屯设计一套完整的VR漫游系统方案。</w:t>
      </w:r>
    </w:p>
    <w:p w14:paraId="714E3454">
      <w:pPr>
        <w:pStyle w:val="19"/>
        <w:numPr>
          <w:ilvl w:val="0"/>
          <w:numId w:val="2"/>
        </w:numPr>
        <w:spacing w:after="60" w:line="340" w:lineRule="auto"/>
      </w:pPr>
      <w:r>
        <w:rPr>
          <w:rFonts w:ascii="宋体" w:hAnsi="宋体" w:eastAsia="宋体" w:cs="宋体"/>
          <w:sz w:val="24"/>
          <w:szCs w:val="24"/>
        </w:rPr>
        <w:t>以"抬汪公"仪式为蓝本，设计一个沉浸式剧场的剧本大纲。</w:t>
      </w:r>
    </w:p>
    <w:p w14:paraId="078307EF">
      <w:pPr>
        <w:pStyle w:val="19"/>
        <w:numPr>
          <w:ilvl w:val="0"/>
          <w:numId w:val="2"/>
        </w:numPr>
        <w:spacing w:after="60" w:line="340" w:lineRule="auto"/>
      </w:pPr>
      <w:r>
        <w:rPr>
          <w:rFonts w:ascii="宋体" w:hAnsi="宋体" w:eastAsia="宋体" w:cs="宋体"/>
          <w:sz w:val="24"/>
          <w:szCs w:val="24"/>
        </w:rPr>
        <w:t>比较VR体验与线下沉浸式体验在文化遗产活化中的优劣。</w:t>
      </w:r>
    </w:p>
    <w:p w14:paraId="478D7920">
      <w:pPr>
        <w:pStyle w:val="19"/>
        <w:numPr>
          <w:ilvl w:val="0"/>
          <w:numId w:val="2"/>
        </w:numPr>
        <w:spacing w:after="60" w:line="340" w:lineRule="auto"/>
      </w:pPr>
      <w:r>
        <w:rPr>
          <w:rFonts w:ascii="宋体" w:hAnsi="宋体" w:eastAsia="宋体" w:cs="宋体"/>
          <w:sz w:val="24"/>
          <w:szCs w:val="24"/>
        </w:rPr>
        <w:t>设计一个屯堡文化主题的实景解谜游戏。</w:t>
      </w:r>
    </w:p>
    <w:p w14:paraId="4BDEA5FD">
      <w:pPr>
        <w:pStyle w:val="19"/>
        <w:numPr>
          <w:ilvl w:val="0"/>
          <w:numId w:val="2"/>
        </w:numPr>
        <w:spacing w:after="60" w:line="340" w:lineRule="auto"/>
      </w:pPr>
      <w:r>
        <w:rPr>
          <w:rFonts w:ascii="宋体" w:hAnsi="宋体" w:eastAsia="宋体" w:cs="宋体"/>
          <w:sz w:val="24"/>
          <w:szCs w:val="24"/>
        </w:rPr>
        <w:t>讨论：沉浸式体验会不会"喧宾夺主"，让文化遗产本身沦为背景？</w:t>
      </w:r>
    </w:p>
    <w:p w14:paraId="7DFFD51F">
      <w:pPr>
        <w:pStyle w:val="3"/>
        <w:spacing w:before="300" w:after="200"/>
      </w:pPr>
      <w:bookmarkStart w:id="267" w:name="_Toc6514"/>
      <w:r>
        <w:rPr>
          <w:rFonts w:ascii="黑体" w:hAnsi="黑体" w:eastAsia="黑体" w:cs="黑体"/>
          <w:b/>
          <w:bCs/>
          <w:color w:val="000000"/>
          <w:sz w:val="28"/>
          <w:szCs w:val="28"/>
        </w:rPr>
        <w:t>知识卡片：沉浸式体验设计的五个层次</w:t>
      </w:r>
      <w:bookmarkEnd w:id="267"/>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5AD38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E9A4722">
            <w:pPr>
              <w:spacing w:after="0"/>
            </w:pPr>
            <w:r>
              <w:rPr>
                <w:rFonts w:ascii="宋体" w:hAnsi="宋体" w:eastAsia="宋体" w:cs="宋体"/>
                <w:b/>
                <w:bCs/>
                <w:color w:val="FFFFFF"/>
                <w:sz w:val="20"/>
                <w:szCs w:val="20"/>
              </w:rPr>
              <w:t>层次</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CA0A14C">
            <w:pPr>
              <w:spacing w:after="0"/>
            </w:pPr>
            <w:r>
              <w:rPr>
                <w:rFonts w:ascii="宋体" w:hAnsi="宋体" w:eastAsia="宋体" w:cs="宋体"/>
                <w:b/>
                <w:bCs/>
                <w:color w:val="FFFFFF"/>
                <w:sz w:val="20"/>
                <w:szCs w:val="20"/>
              </w:rPr>
              <w:t>核心问题</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EB500DB">
            <w:pPr>
              <w:spacing w:after="0"/>
            </w:pPr>
            <w:r>
              <w:rPr>
                <w:rFonts w:ascii="宋体" w:hAnsi="宋体" w:eastAsia="宋体" w:cs="宋体"/>
                <w:b/>
                <w:bCs/>
                <w:color w:val="FFFFFF"/>
                <w:sz w:val="20"/>
                <w:szCs w:val="20"/>
              </w:rPr>
              <w:t>屯堡案例</w:t>
            </w:r>
          </w:p>
        </w:tc>
      </w:tr>
      <w:tr w14:paraId="5EC6D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778A8F4">
            <w:pPr>
              <w:spacing w:after="0"/>
            </w:pPr>
            <w:r>
              <w:rPr>
                <w:rFonts w:ascii="宋体" w:hAnsi="宋体" w:eastAsia="宋体" w:cs="宋体"/>
                <w:sz w:val="20"/>
                <w:szCs w:val="20"/>
              </w:rPr>
              <w:t>空间沉浸</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5AEF32">
            <w:pPr>
              <w:spacing w:after="0"/>
            </w:pPr>
            <w:r>
              <w:rPr>
                <w:rFonts w:ascii="宋体" w:hAnsi="宋体" w:eastAsia="宋体" w:cs="宋体"/>
                <w:sz w:val="20"/>
                <w:szCs w:val="20"/>
              </w:rPr>
              <w:t>环境是否让人"身临其境"？</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86534D">
            <w:pPr>
              <w:spacing w:after="0"/>
            </w:pPr>
            <w:r>
              <w:rPr>
                <w:rFonts w:ascii="宋体" w:hAnsi="宋体" w:eastAsia="宋体" w:cs="宋体"/>
                <w:sz w:val="20"/>
                <w:szCs w:val="20"/>
              </w:rPr>
              <w:t>在真实的屯堡巷道中展开体验</w:t>
            </w:r>
          </w:p>
        </w:tc>
      </w:tr>
      <w:tr w14:paraId="26C10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022507">
            <w:pPr>
              <w:spacing w:after="0"/>
            </w:pPr>
            <w:r>
              <w:rPr>
                <w:rFonts w:ascii="宋体" w:hAnsi="宋体" w:eastAsia="宋体" w:cs="宋体"/>
                <w:sz w:val="20"/>
                <w:szCs w:val="20"/>
              </w:rPr>
              <w:t>叙事沉浸</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344FA9">
            <w:pPr>
              <w:spacing w:after="0"/>
            </w:pPr>
            <w:r>
              <w:rPr>
                <w:rFonts w:ascii="宋体" w:hAnsi="宋体" w:eastAsia="宋体" w:cs="宋体"/>
                <w:sz w:val="20"/>
                <w:szCs w:val="20"/>
              </w:rPr>
              <w:t>故事是否吸引人？</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ED37F4">
            <w:pPr>
              <w:spacing w:after="0"/>
            </w:pPr>
            <w:r>
              <w:rPr>
                <w:rFonts w:ascii="宋体" w:hAnsi="宋体" w:eastAsia="宋体" w:cs="宋体"/>
                <w:sz w:val="20"/>
                <w:szCs w:val="20"/>
              </w:rPr>
              <w:t>"调北征南"的历史故事线</w:t>
            </w:r>
          </w:p>
        </w:tc>
      </w:tr>
      <w:tr w14:paraId="13B07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AE1640">
            <w:pPr>
              <w:spacing w:after="0"/>
            </w:pPr>
            <w:r>
              <w:rPr>
                <w:rFonts w:ascii="宋体" w:hAnsi="宋体" w:eastAsia="宋体" w:cs="宋体"/>
                <w:sz w:val="20"/>
                <w:szCs w:val="20"/>
              </w:rPr>
              <w:t>感官沉浸</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4A493D">
            <w:pPr>
              <w:spacing w:after="0"/>
            </w:pPr>
            <w:r>
              <w:rPr>
                <w:rFonts w:ascii="宋体" w:hAnsi="宋体" w:eastAsia="宋体" w:cs="宋体"/>
                <w:sz w:val="20"/>
                <w:szCs w:val="20"/>
              </w:rPr>
              <w:t>五感是否被全面调动？</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9EC6BE">
            <w:pPr>
              <w:spacing w:after="0"/>
            </w:pPr>
            <w:r>
              <w:rPr>
                <w:rFonts w:ascii="宋体" w:hAnsi="宋体" w:eastAsia="宋体" w:cs="宋体"/>
                <w:sz w:val="20"/>
                <w:szCs w:val="20"/>
              </w:rPr>
              <w:t>看建筑、听地戏、触石墙、闻腊肉</w:t>
            </w:r>
          </w:p>
        </w:tc>
      </w:tr>
      <w:tr w14:paraId="0EBEB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516E17">
            <w:pPr>
              <w:spacing w:after="0"/>
            </w:pPr>
            <w:r>
              <w:rPr>
                <w:rFonts w:ascii="宋体" w:hAnsi="宋体" w:eastAsia="宋体" w:cs="宋体"/>
                <w:sz w:val="20"/>
                <w:szCs w:val="20"/>
              </w:rPr>
              <w:t>交互沉浸</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6D8EB7">
            <w:pPr>
              <w:spacing w:after="0"/>
            </w:pPr>
            <w:r>
              <w:rPr>
                <w:rFonts w:ascii="宋体" w:hAnsi="宋体" w:eastAsia="宋体" w:cs="宋体"/>
                <w:sz w:val="20"/>
                <w:szCs w:val="20"/>
              </w:rPr>
              <w:t>行为是否影响体验进程？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AF3DDE">
            <w:pPr>
              <w:spacing w:after="0"/>
            </w:pPr>
            <w:r>
              <w:rPr>
                <w:rFonts w:ascii="宋体" w:hAnsi="宋体" w:eastAsia="宋体" w:cs="宋体"/>
                <w:sz w:val="20"/>
                <w:szCs w:val="20"/>
              </w:rPr>
              <w:t>选择角色、完成任务、解谜</w:t>
            </w:r>
          </w:p>
        </w:tc>
      </w:tr>
      <w:tr w14:paraId="42CAD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61AA9E">
            <w:pPr>
              <w:spacing w:after="0"/>
            </w:pPr>
            <w:r>
              <w:rPr>
                <w:rFonts w:ascii="宋体" w:hAnsi="宋体" w:eastAsia="宋体" w:cs="宋体"/>
                <w:sz w:val="20"/>
                <w:szCs w:val="20"/>
              </w:rPr>
              <w:t>情感沉浸</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D1BEDB">
            <w:pPr>
              <w:spacing w:after="0"/>
            </w:pPr>
            <w:r>
              <w:rPr>
                <w:rFonts w:ascii="宋体" w:hAnsi="宋体" w:eastAsia="宋体" w:cs="宋体"/>
                <w:sz w:val="20"/>
                <w:szCs w:val="20"/>
              </w:rPr>
              <w:t>是否产生情感共鸣？</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1CD56F">
            <w:pPr>
              <w:spacing w:after="0"/>
            </w:pPr>
            <w:r>
              <w:rPr>
                <w:rFonts w:ascii="宋体" w:hAnsi="宋体" w:eastAsia="宋体" w:cs="宋体"/>
                <w:sz w:val="20"/>
                <w:szCs w:val="20"/>
              </w:rPr>
              <w:t>与传承人的"对话"、文化认同感</w:t>
            </w:r>
          </w:p>
        </w:tc>
      </w:tr>
    </w:tbl>
    <w:p w14:paraId="1FD50757">
      <w:r>
        <w:br w:type="page"/>
      </w:r>
    </w:p>
    <w:p w14:paraId="48918EA2">
      <w:pPr>
        <w:pStyle w:val="2"/>
        <w:spacing w:before="400" w:after="200"/>
      </w:pPr>
      <w:bookmarkStart w:id="268" w:name="_Toc32752"/>
      <w:r>
        <w:rPr>
          <w:rFonts w:ascii="黑体" w:hAnsi="黑体" w:eastAsia="黑体" w:cs="黑体"/>
          <w:b/>
          <w:bCs/>
          <w:color w:val="1F4E79"/>
          <w:sz w:val="32"/>
          <w:szCs w:val="32"/>
        </w:rPr>
        <w:t>第 10 章  屯堡文创产品开发与IP运营</w:t>
      </w:r>
      <w:bookmarkEnd w:id="268"/>
    </w:p>
    <w:p w14:paraId="0C8381B3">
      <w:pPr>
        <w:pStyle w:val="3"/>
        <w:spacing w:before="300" w:after="200"/>
      </w:pPr>
      <w:bookmarkStart w:id="269" w:name="_Toc25686"/>
      <w:r>
        <w:rPr>
          <w:rFonts w:ascii="黑体" w:hAnsi="黑体" w:eastAsia="黑体" w:cs="黑体"/>
          <w:b/>
          <w:bCs/>
          <w:color w:val="000000"/>
          <w:sz w:val="28"/>
          <w:szCs w:val="28"/>
        </w:rPr>
        <w:t>学习目标</w:t>
      </w:r>
      <w:bookmarkEnd w:id="269"/>
    </w:p>
    <w:p w14:paraId="2FC83FC2">
      <w:pPr>
        <w:pStyle w:val="19"/>
        <w:numPr>
          <w:ilvl w:val="0"/>
          <w:numId w:val="1"/>
        </w:numPr>
        <w:spacing w:after="60" w:line="340" w:lineRule="auto"/>
      </w:pPr>
      <w:r>
        <w:rPr>
          <w:rFonts w:ascii="宋体" w:hAnsi="宋体" w:eastAsia="宋体" w:cs="宋体"/>
          <w:sz w:val="24"/>
          <w:szCs w:val="24"/>
        </w:rPr>
        <w:t>理解文化创意产品开发的基本理论和方法</w:t>
      </w:r>
    </w:p>
    <w:p w14:paraId="77CDECFF">
      <w:pPr>
        <w:pStyle w:val="19"/>
        <w:numPr>
          <w:ilvl w:val="0"/>
          <w:numId w:val="1"/>
        </w:numPr>
        <w:spacing w:after="60" w:line="340" w:lineRule="auto"/>
      </w:pPr>
      <w:r>
        <w:rPr>
          <w:rFonts w:ascii="宋体" w:hAnsi="宋体" w:eastAsia="宋体" w:cs="宋体"/>
          <w:sz w:val="24"/>
          <w:szCs w:val="24"/>
        </w:rPr>
        <w:t>掌握文化遗产IP的提炼、运营与授权模式</w:t>
      </w:r>
    </w:p>
    <w:p w14:paraId="2D718182">
      <w:pPr>
        <w:pStyle w:val="19"/>
        <w:numPr>
          <w:ilvl w:val="0"/>
          <w:numId w:val="1"/>
        </w:numPr>
        <w:spacing w:after="60" w:line="340" w:lineRule="auto"/>
      </w:pPr>
      <w:r>
        <w:rPr>
          <w:rFonts w:ascii="宋体" w:hAnsi="宋体" w:eastAsia="宋体" w:cs="宋体"/>
          <w:sz w:val="24"/>
          <w:szCs w:val="24"/>
        </w:rPr>
        <w:t>了解屯堡文化符号的设计转化策略</w:t>
      </w:r>
    </w:p>
    <w:p w14:paraId="575821D4">
      <w:pPr>
        <w:pStyle w:val="19"/>
        <w:numPr>
          <w:ilvl w:val="0"/>
          <w:numId w:val="1"/>
        </w:numPr>
        <w:spacing w:after="60" w:line="340" w:lineRule="auto"/>
      </w:pPr>
      <w:r>
        <w:rPr>
          <w:rFonts w:ascii="宋体" w:hAnsi="宋体" w:eastAsia="宋体" w:cs="宋体"/>
          <w:sz w:val="24"/>
          <w:szCs w:val="24"/>
        </w:rPr>
        <w:t>学习数字文创（NFT、AI生成等）的新模式</w:t>
      </w:r>
    </w:p>
    <w:p w14:paraId="5413E138">
      <w:pPr>
        <w:pStyle w:val="19"/>
        <w:numPr>
          <w:ilvl w:val="0"/>
          <w:numId w:val="1"/>
        </w:numPr>
        <w:spacing w:after="60" w:line="340" w:lineRule="auto"/>
      </w:pPr>
      <w:r>
        <w:rPr>
          <w:rFonts w:ascii="宋体" w:hAnsi="宋体" w:eastAsia="宋体" w:cs="宋体"/>
          <w:sz w:val="24"/>
          <w:szCs w:val="24"/>
        </w:rPr>
        <w:t>能够设计屯堡文创产品体系和品牌策略</w:t>
      </w:r>
    </w:p>
    <w:p w14:paraId="6E5D86F0">
      <w:pPr>
        <w:pStyle w:val="3"/>
        <w:spacing w:before="300" w:after="200"/>
      </w:pPr>
      <w:bookmarkStart w:id="270" w:name="_Toc29178"/>
      <w:r>
        <w:rPr>
          <w:rFonts w:ascii="黑体" w:hAnsi="黑体" w:eastAsia="黑体" w:cs="黑体"/>
          <w:b/>
          <w:bCs/>
          <w:color w:val="000000"/>
          <w:sz w:val="28"/>
          <w:szCs w:val="28"/>
        </w:rPr>
        <w:t>导入案例：从一面面具到一个产业</w:t>
      </w:r>
      <w:bookmarkEnd w:id="270"/>
    </w:p>
    <w:p w14:paraId="769828D0">
      <w:pPr>
        <w:spacing w:after="120" w:line="360" w:lineRule="auto"/>
        <w:jc w:val="both"/>
      </w:pPr>
      <w:r>
        <w:rPr>
          <w:rFonts w:ascii="宋体" w:hAnsi="宋体" w:eastAsia="宋体" w:cs="宋体"/>
          <w:sz w:val="24"/>
          <w:szCs w:val="24"/>
        </w:rPr>
        <w:t>2020年以前，屯堡的"文创产品"主要是地戏面具的缩小版摆件——手艺人在路边支个摊，现雕现卖，价格从几十到几百元不等。产品单一，渠道有限，消费群体主要是中老年游客和收藏爱好者。</w:t>
      </w:r>
    </w:p>
    <w:p w14:paraId="099D86DE">
      <w:pPr>
        <w:spacing w:after="120" w:line="360" w:lineRule="auto"/>
        <w:jc w:val="both"/>
      </w:pPr>
      <w:r>
        <w:rPr>
          <w:rFonts w:ascii="宋体" w:hAnsi="宋体" w:eastAsia="宋体" w:cs="宋体"/>
          <w:sz w:val="24"/>
          <w:szCs w:val="24"/>
        </w:rPr>
        <w:t>2026年的情况已经完全不同。贵州大学"黔影新生"团队将地戏面具数字化后，用AI生成了上百个变体形象，开发了表情包（微信下载量超50万次）、盲盒（单个售价49元，月销万件）、服饰配饰（T恤、丝巾、帆布袋）。天龙屯堡开设了"屯堡造物"文创集合店，月营业额超过30万元。抖音上"屯堡文创"话题播放量突破2亿次。</w:t>
      </w:r>
    </w:p>
    <w:p w14:paraId="4F6E0126">
      <w:pPr>
        <w:spacing w:after="120" w:line="360" w:lineRule="auto"/>
        <w:jc w:val="both"/>
      </w:pPr>
      <w:r>
        <w:rPr>
          <w:rFonts w:ascii="宋体" w:hAnsi="宋体" w:eastAsia="宋体" w:cs="宋体"/>
          <w:sz w:val="24"/>
          <w:szCs w:val="24"/>
        </w:rPr>
        <w:t>更值得关注的是商业模式的升级。过去是"卖产品"，现在是"卖IP"——"黔影新生"将地戏面具IP授权给深圳一家潮玩公司，获得了50万元的年授权费加销售额分成。屯堡文化IP从地方文化资源转变为可授权、可运营的数字资产。</w:t>
      </w:r>
    </w:p>
    <w:p w14:paraId="5A87CAF7">
      <w:pPr>
        <w:spacing w:after="120" w:line="360" w:lineRule="auto"/>
        <w:jc w:val="both"/>
      </w:pPr>
      <w:r>
        <w:rPr>
          <w:rFonts w:ascii="宋体" w:hAnsi="宋体" w:eastAsia="宋体" w:cs="宋体"/>
          <w:sz w:val="24"/>
          <w:szCs w:val="24"/>
        </w:rPr>
        <w:t>这个转变的背后，是一整套文创产品开发和IP运营的方法论。</w:t>
      </w:r>
    </w:p>
    <w:p w14:paraId="6FA1604C">
      <w:pPr>
        <w:pStyle w:val="3"/>
        <w:spacing w:before="300" w:after="200"/>
      </w:pPr>
      <w:bookmarkStart w:id="271" w:name="_Toc20794"/>
      <w:r>
        <w:rPr>
          <w:rFonts w:ascii="黑体" w:hAnsi="黑体" w:eastAsia="黑体" w:cs="黑体"/>
          <w:b/>
          <w:bCs/>
          <w:color w:val="000000"/>
          <w:sz w:val="28"/>
          <w:szCs w:val="28"/>
        </w:rPr>
        <w:t>10.1 文化创意产品开发基础</w:t>
      </w:r>
      <w:bookmarkEnd w:id="271"/>
    </w:p>
    <w:p w14:paraId="78F0DAF8">
      <w:pPr>
        <w:pStyle w:val="4"/>
        <w:spacing w:before="300" w:after="200"/>
      </w:pPr>
      <w:bookmarkStart w:id="272" w:name="_Toc12516"/>
      <w:r>
        <w:rPr>
          <w:rFonts w:ascii="黑体" w:hAnsi="黑体" w:eastAsia="黑体" w:cs="黑体"/>
          <w:b/>
          <w:bCs/>
          <w:color w:val="000000"/>
          <w:sz w:val="26"/>
          <w:szCs w:val="26"/>
        </w:rPr>
        <w:t>10.1.1 文创产品的概念与分类</w:t>
      </w:r>
      <w:bookmarkEnd w:id="272"/>
    </w:p>
    <w:p w14:paraId="5287F517">
      <w:pPr>
        <w:spacing w:after="120" w:line="360" w:lineRule="auto"/>
        <w:jc w:val="both"/>
      </w:pPr>
      <w:r>
        <w:rPr>
          <w:rFonts w:ascii="宋体" w:hAnsi="宋体" w:eastAsia="宋体" w:cs="宋体"/>
          <w:sz w:val="24"/>
          <w:szCs w:val="24"/>
        </w:rPr>
        <w:t>文化创意产品（文创产品）是指以文化资源为创意来源，通过设计转化形成的具有文化内涵和市场价值的消费品。文创产品不同于普通的旅游纪念品，它的核心价值不在于材料或功能，而在于文化符号的承载和创意表达的独特性。</w:t>
      </w:r>
    </w:p>
    <w:p w14:paraId="54F9F957">
      <w:pPr>
        <w:spacing w:after="120" w:line="360" w:lineRule="auto"/>
        <w:jc w:val="both"/>
      </w:pPr>
      <w:r>
        <w:rPr>
          <w:rFonts w:ascii="宋体" w:hAnsi="宋体" w:eastAsia="宋体" w:cs="宋体"/>
          <w:sz w:val="24"/>
          <w:szCs w:val="24"/>
        </w:rPr>
        <w:t>按产品形态分类，文创产品包括：</w:t>
      </w:r>
    </w:p>
    <w:p w14:paraId="72F79A57">
      <w:pPr>
        <w:spacing w:after="120" w:line="360" w:lineRule="auto"/>
        <w:jc w:val="both"/>
      </w:pPr>
      <w:r>
        <w:rPr>
          <w:rFonts w:ascii="宋体" w:hAnsi="宋体" w:eastAsia="宋体" w:cs="宋体"/>
          <w:b/>
          <w:bCs/>
          <w:sz w:val="24"/>
          <w:szCs w:val="24"/>
        </w:rPr>
        <w:t>实用型文创。</w:t>
      </w:r>
      <w:r>
        <w:rPr>
          <w:rFonts w:ascii="宋体" w:hAnsi="宋体" w:eastAsia="宋体" w:cs="宋体"/>
          <w:sz w:val="24"/>
          <w:szCs w:val="24"/>
        </w:rPr>
        <w:t xml:space="preserve"> 将文化元素融入日常用品——文具（笔记本、书签、钢笔）、家居（杯具、餐具、抱枕）、服饰（T恤、丝巾、帆布袋）、数码配件（手机壳、耳机套、U盘）。</w:t>
      </w:r>
    </w:p>
    <w:p w14:paraId="44045615">
      <w:pPr>
        <w:spacing w:after="120" w:line="360" w:lineRule="auto"/>
        <w:jc w:val="both"/>
      </w:pPr>
      <w:r>
        <w:rPr>
          <w:rFonts w:ascii="宋体" w:hAnsi="宋体" w:eastAsia="宋体" w:cs="宋体"/>
          <w:b/>
          <w:bCs/>
          <w:sz w:val="24"/>
          <w:szCs w:val="24"/>
        </w:rPr>
        <w:t>装饰型文创。</w:t>
      </w:r>
      <w:r>
        <w:rPr>
          <w:rFonts w:ascii="宋体" w:hAnsi="宋体" w:eastAsia="宋体" w:cs="宋体"/>
          <w:sz w:val="24"/>
          <w:szCs w:val="24"/>
        </w:rPr>
        <w:t xml:space="preserve"> 以审美价值为主的产品——摆件、装饰画、工艺品、首饰。</w:t>
      </w:r>
    </w:p>
    <w:p w14:paraId="304355D1">
      <w:pPr>
        <w:spacing w:after="120" w:line="360" w:lineRule="auto"/>
        <w:jc w:val="both"/>
      </w:pPr>
      <w:r>
        <w:rPr>
          <w:rFonts w:ascii="宋体" w:hAnsi="宋体" w:eastAsia="宋体" w:cs="宋体"/>
          <w:b/>
          <w:bCs/>
          <w:sz w:val="24"/>
          <w:szCs w:val="24"/>
        </w:rPr>
        <w:t>收藏型文创。</w:t>
      </w:r>
      <w:r>
        <w:rPr>
          <w:rFonts w:ascii="宋体" w:hAnsi="宋体" w:eastAsia="宋体" w:cs="宋体"/>
          <w:sz w:val="24"/>
          <w:szCs w:val="24"/>
        </w:rPr>
        <w:t xml:space="preserve"> 具有稀缺性和收藏价值的产品——限量版手办、艺术复制品、纪念币/章。</w:t>
      </w:r>
    </w:p>
    <w:p w14:paraId="0AA1F9BE">
      <w:pPr>
        <w:spacing w:after="120" w:line="360" w:lineRule="auto"/>
        <w:jc w:val="both"/>
      </w:pPr>
      <w:r>
        <w:rPr>
          <w:rFonts w:ascii="宋体" w:hAnsi="宋体" w:eastAsia="宋体" w:cs="宋体"/>
          <w:b/>
          <w:bCs/>
          <w:sz w:val="24"/>
          <w:szCs w:val="24"/>
        </w:rPr>
        <w:t>体验型文创。</w:t>
      </w:r>
      <w:r>
        <w:rPr>
          <w:rFonts w:ascii="宋体" w:hAnsi="宋体" w:eastAsia="宋体" w:cs="宋体"/>
          <w:sz w:val="24"/>
          <w:szCs w:val="24"/>
        </w:rPr>
        <w:t xml:space="preserve"> 以体验为核心的产品——DIY材料包（如"自制地戏面具"套装）、沉浸式体验门票、研学课程包。</w:t>
      </w:r>
    </w:p>
    <w:p w14:paraId="55996132">
      <w:pPr>
        <w:spacing w:after="120" w:line="360" w:lineRule="auto"/>
        <w:jc w:val="both"/>
      </w:pPr>
      <w:r>
        <w:rPr>
          <w:rFonts w:ascii="宋体" w:hAnsi="宋体" w:eastAsia="宋体" w:cs="宋体"/>
          <w:b/>
          <w:bCs/>
          <w:sz w:val="24"/>
          <w:szCs w:val="24"/>
        </w:rPr>
        <w:t>数字文创。</w:t>
      </w:r>
      <w:r>
        <w:rPr>
          <w:rFonts w:ascii="宋体" w:hAnsi="宋体" w:eastAsia="宋体" w:cs="宋体"/>
          <w:sz w:val="24"/>
          <w:szCs w:val="24"/>
        </w:rPr>
        <w:t xml:space="preserve"> 以数字形式存在的产品——表情包、数字藏品（NFT）、虚拟服饰、AI生成艺术品。</w:t>
      </w:r>
    </w:p>
    <w:p w14:paraId="5A1C67B1">
      <w:pPr>
        <w:pStyle w:val="4"/>
        <w:spacing w:before="300" w:after="200"/>
      </w:pPr>
      <w:bookmarkStart w:id="273" w:name="_Toc6104"/>
      <w:r>
        <w:rPr>
          <w:rFonts w:ascii="黑体" w:hAnsi="黑体" w:eastAsia="黑体" w:cs="黑体"/>
          <w:b/>
          <w:bCs/>
          <w:color w:val="000000"/>
          <w:sz w:val="26"/>
          <w:szCs w:val="26"/>
        </w:rPr>
        <w:t>10.1.2 文创产品开发流程</w:t>
      </w:r>
      <w:bookmarkEnd w:id="273"/>
    </w:p>
    <w:p w14:paraId="6C8FB799">
      <w:pPr>
        <w:spacing w:after="120" w:line="360" w:lineRule="auto"/>
        <w:jc w:val="both"/>
      </w:pPr>
      <w:r>
        <w:rPr>
          <w:rFonts w:ascii="宋体" w:hAnsi="宋体" w:eastAsia="宋体" w:cs="宋体"/>
          <w:sz w:val="24"/>
          <w:szCs w:val="24"/>
        </w:rPr>
        <w:t>标准化的文创产品开发流程包括以下阶段：</w:t>
      </w:r>
    </w:p>
    <w:p w14:paraId="24AB9F29">
      <w:pPr>
        <w:spacing w:after="120" w:line="360" w:lineRule="auto"/>
        <w:jc w:val="both"/>
      </w:pPr>
      <w:r>
        <w:rPr>
          <w:rFonts w:ascii="宋体" w:hAnsi="宋体" w:eastAsia="宋体" w:cs="宋体"/>
          <w:b/>
          <w:bCs/>
          <w:sz w:val="24"/>
          <w:szCs w:val="24"/>
        </w:rPr>
        <w:t>文化资源梳理。</w:t>
      </w:r>
      <w:r>
        <w:rPr>
          <w:rFonts w:ascii="宋体" w:hAnsi="宋体" w:eastAsia="宋体" w:cs="宋体"/>
          <w:sz w:val="24"/>
          <w:szCs w:val="24"/>
        </w:rPr>
        <w:t xml:space="preserve"> 系统梳理可用的文化资源——视觉元素（建筑造型、服饰纹样、面具形态）、故事资源（历史事件、人物传奇、民俗传说）、技艺资源（雕刻技法、刺绣针法、烹饪工艺）。</w:t>
      </w:r>
    </w:p>
    <w:p w14:paraId="61F24D08">
      <w:pPr>
        <w:spacing w:after="120" w:line="360" w:lineRule="auto"/>
        <w:jc w:val="both"/>
      </w:pPr>
      <w:r>
        <w:rPr>
          <w:rFonts w:ascii="宋体" w:hAnsi="宋体" w:eastAsia="宋体" w:cs="宋体"/>
          <w:b/>
          <w:bCs/>
          <w:sz w:val="24"/>
          <w:szCs w:val="24"/>
        </w:rPr>
        <w:t>创意概念生成。</w:t>
      </w:r>
      <w:r>
        <w:rPr>
          <w:rFonts w:ascii="宋体" w:hAnsi="宋体" w:eastAsia="宋体" w:cs="宋体"/>
          <w:sz w:val="24"/>
          <w:szCs w:val="24"/>
        </w:rPr>
        <w:t xml:space="preserve"> 基于文化资源，生成产品创意概念。可采用头脑风暴、设计思维（Design Thinking）等方法。创意概念应回答三个问题：产品的文化内核是什么？解决了用户的什么需求？与同类产品的差异化在哪里？</w:t>
      </w:r>
    </w:p>
    <w:p w14:paraId="10BE1812">
      <w:pPr>
        <w:spacing w:after="120" w:line="360" w:lineRule="auto"/>
        <w:jc w:val="both"/>
      </w:pPr>
      <w:r>
        <w:rPr>
          <w:rFonts w:ascii="宋体" w:hAnsi="宋体" w:eastAsia="宋体" w:cs="宋体"/>
          <w:b/>
          <w:bCs/>
          <w:sz w:val="24"/>
          <w:szCs w:val="24"/>
        </w:rPr>
        <w:t>设计方案深化。</w:t>
      </w:r>
      <w:r>
        <w:rPr>
          <w:rFonts w:ascii="宋体" w:hAnsi="宋体" w:eastAsia="宋体" w:cs="宋体"/>
          <w:sz w:val="24"/>
          <w:szCs w:val="24"/>
        </w:rPr>
        <w:t xml:space="preserve"> 将创意概念转化为具体的设计方案——产品形态、色彩方案、材料选择、工艺路线、包装设计。</w:t>
      </w:r>
    </w:p>
    <w:p w14:paraId="1DBEDCA7">
      <w:pPr>
        <w:spacing w:after="120" w:line="360" w:lineRule="auto"/>
        <w:jc w:val="both"/>
      </w:pPr>
      <w:r>
        <w:rPr>
          <w:rFonts w:ascii="宋体" w:hAnsi="宋体" w:eastAsia="宋体" w:cs="宋体"/>
          <w:b/>
          <w:bCs/>
          <w:sz w:val="24"/>
          <w:szCs w:val="24"/>
        </w:rPr>
        <w:t>样品制作与测试。</w:t>
      </w:r>
      <w:r>
        <w:rPr>
          <w:rFonts w:ascii="宋体" w:hAnsi="宋体" w:eastAsia="宋体" w:cs="宋体"/>
          <w:sz w:val="24"/>
          <w:szCs w:val="24"/>
        </w:rPr>
        <w:t xml:space="preserve"> 制作产品样品，进行用户测试和市场验证。根据反馈调整设计方案。</w:t>
      </w:r>
    </w:p>
    <w:p w14:paraId="29450D77">
      <w:pPr>
        <w:spacing w:after="120" w:line="360" w:lineRule="auto"/>
        <w:jc w:val="both"/>
      </w:pPr>
      <w:r>
        <w:rPr>
          <w:rFonts w:ascii="宋体" w:hAnsi="宋体" w:eastAsia="宋体" w:cs="宋体"/>
          <w:b/>
          <w:bCs/>
          <w:sz w:val="24"/>
          <w:szCs w:val="24"/>
        </w:rPr>
        <w:t>量产与品控。</w:t>
      </w:r>
      <w:r>
        <w:rPr>
          <w:rFonts w:ascii="宋体" w:hAnsi="宋体" w:eastAsia="宋体" w:cs="宋体"/>
          <w:sz w:val="24"/>
          <w:szCs w:val="24"/>
        </w:rPr>
        <w:t xml:space="preserve"> 确定生产合作伙伴，建立质量控制标准，批量生产。</w:t>
      </w:r>
    </w:p>
    <w:p w14:paraId="3C55C911">
      <w:pPr>
        <w:spacing w:after="120" w:line="360" w:lineRule="auto"/>
        <w:jc w:val="both"/>
      </w:pPr>
      <w:r>
        <w:rPr>
          <w:rFonts w:ascii="宋体" w:hAnsi="宋体" w:eastAsia="宋体" w:cs="宋体"/>
          <w:b/>
          <w:bCs/>
          <w:sz w:val="24"/>
          <w:szCs w:val="24"/>
        </w:rPr>
        <w:t>渠道与营销。</w:t>
      </w:r>
      <w:r>
        <w:rPr>
          <w:rFonts w:ascii="宋体" w:hAnsi="宋体" w:eastAsia="宋体" w:cs="宋体"/>
          <w:sz w:val="24"/>
          <w:szCs w:val="24"/>
        </w:rPr>
        <w:t xml:space="preserve"> 确定销售渠道（线下实体店、线上电商、景区专柜等），制定营销推广方案。</w:t>
      </w:r>
    </w:p>
    <w:p w14:paraId="6D409E17">
      <w:pPr>
        <w:pStyle w:val="4"/>
        <w:spacing w:before="300" w:after="200"/>
      </w:pPr>
      <w:bookmarkStart w:id="274" w:name="_Toc5781"/>
      <w:r>
        <w:rPr>
          <w:rFonts w:ascii="黑体" w:hAnsi="黑体" w:eastAsia="黑体" w:cs="黑体"/>
          <w:b/>
          <w:bCs/>
          <w:color w:val="000000"/>
          <w:sz w:val="26"/>
          <w:szCs w:val="26"/>
        </w:rPr>
        <w:t>10.1.3 文创产品设计原则</w:t>
      </w:r>
      <w:bookmarkEnd w:id="274"/>
    </w:p>
    <w:p w14:paraId="73564C62">
      <w:pPr>
        <w:spacing w:after="120" w:line="360" w:lineRule="auto"/>
        <w:jc w:val="both"/>
      </w:pPr>
      <w:r>
        <w:rPr>
          <w:rFonts w:ascii="宋体" w:hAnsi="宋体" w:eastAsia="宋体" w:cs="宋体"/>
          <w:b/>
          <w:bCs/>
          <w:sz w:val="24"/>
          <w:szCs w:val="24"/>
        </w:rPr>
        <w:t>文化为魂。</w:t>
      </w:r>
      <w:r>
        <w:rPr>
          <w:rFonts w:ascii="宋体" w:hAnsi="宋体" w:eastAsia="宋体" w:cs="宋体"/>
          <w:sz w:val="24"/>
          <w:szCs w:val="24"/>
        </w:rPr>
        <w:t xml:space="preserve"> 文创产品的核心竞争力是文化内涵。设计应深入挖掘文化符号的意义，而非简单"贴标签"。</w:t>
      </w:r>
    </w:p>
    <w:p w14:paraId="3FD15649">
      <w:pPr>
        <w:spacing w:after="120" w:line="360" w:lineRule="auto"/>
        <w:jc w:val="both"/>
      </w:pPr>
      <w:r>
        <w:rPr>
          <w:rFonts w:ascii="宋体" w:hAnsi="宋体" w:eastAsia="宋体" w:cs="宋体"/>
          <w:b/>
          <w:bCs/>
          <w:sz w:val="24"/>
          <w:szCs w:val="24"/>
        </w:rPr>
        <w:t>设计为体。</w:t>
      </w:r>
      <w:r>
        <w:rPr>
          <w:rFonts w:ascii="宋体" w:hAnsi="宋体" w:eastAsia="宋体" w:cs="宋体"/>
          <w:sz w:val="24"/>
          <w:szCs w:val="24"/>
        </w:rPr>
        <w:t xml:space="preserve"> 好的设计是文化内涵转化为市场价值的桥梁。文创设计应兼顾美学品质、使用功能和成本可行性。</w:t>
      </w:r>
    </w:p>
    <w:p w14:paraId="3FC41163">
      <w:pPr>
        <w:spacing w:after="120" w:line="360" w:lineRule="auto"/>
        <w:jc w:val="both"/>
      </w:pPr>
      <w:r>
        <w:rPr>
          <w:rFonts w:ascii="宋体" w:hAnsi="宋体" w:eastAsia="宋体" w:cs="宋体"/>
          <w:b/>
          <w:bCs/>
          <w:sz w:val="24"/>
          <w:szCs w:val="24"/>
        </w:rPr>
        <w:t>用户为本。</w:t>
      </w:r>
      <w:r>
        <w:rPr>
          <w:rFonts w:ascii="宋体" w:hAnsi="宋体" w:eastAsia="宋体" w:cs="宋体"/>
          <w:sz w:val="24"/>
          <w:szCs w:val="24"/>
        </w:rPr>
        <w:t xml:space="preserve"> 产品设计应围绕目标用户的需求和审美偏好展开。不同年龄、性别、文化背景的用户对文创产品的需求差异很大。</w:t>
      </w:r>
    </w:p>
    <w:p w14:paraId="572FC4A1">
      <w:pPr>
        <w:spacing w:after="120" w:line="360" w:lineRule="auto"/>
        <w:jc w:val="both"/>
      </w:pPr>
      <w:r>
        <w:rPr>
          <w:rFonts w:ascii="宋体" w:hAnsi="宋体" w:eastAsia="宋体" w:cs="宋体"/>
          <w:b/>
          <w:bCs/>
          <w:sz w:val="24"/>
          <w:szCs w:val="24"/>
        </w:rPr>
        <w:t>品质为王。</w:t>
      </w:r>
      <w:r>
        <w:rPr>
          <w:rFonts w:ascii="宋体" w:hAnsi="宋体" w:eastAsia="宋体" w:cs="宋体"/>
          <w:sz w:val="24"/>
          <w:szCs w:val="24"/>
        </w:rPr>
        <w:t xml:space="preserve"> 文创产品不是"一次性旅游纪念品"。低劣的品质不仅损害消费体验，也损害文化IP的品牌形象。</w:t>
      </w:r>
    </w:p>
    <w:p w14:paraId="7314F7DF">
      <w:pPr>
        <w:pStyle w:val="3"/>
        <w:spacing w:before="300" w:after="200"/>
      </w:pPr>
      <w:bookmarkStart w:id="275" w:name="_Toc28486"/>
      <w:r>
        <w:rPr>
          <w:rFonts w:ascii="黑体" w:hAnsi="黑体" w:eastAsia="黑体" w:cs="黑体"/>
          <w:b/>
          <w:bCs/>
          <w:color w:val="000000"/>
          <w:sz w:val="28"/>
          <w:szCs w:val="28"/>
        </w:rPr>
        <w:t>10.2 屯堡文化符号的提取与转化</w:t>
      </w:r>
      <w:bookmarkEnd w:id="275"/>
    </w:p>
    <w:p w14:paraId="32FD0A67">
      <w:pPr>
        <w:pStyle w:val="4"/>
        <w:spacing w:before="300" w:after="200"/>
      </w:pPr>
      <w:bookmarkStart w:id="276" w:name="_Toc22380"/>
      <w:r>
        <w:rPr>
          <w:rFonts w:ascii="黑体" w:hAnsi="黑体" w:eastAsia="黑体" w:cs="黑体"/>
          <w:b/>
          <w:bCs/>
          <w:color w:val="000000"/>
          <w:sz w:val="26"/>
          <w:szCs w:val="26"/>
        </w:rPr>
        <w:t>10.2.1 视觉符号体系</w:t>
      </w:r>
      <w:bookmarkEnd w:id="276"/>
    </w:p>
    <w:p w14:paraId="39655931">
      <w:pPr>
        <w:spacing w:after="120" w:line="360" w:lineRule="auto"/>
        <w:jc w:val="both"/>
      </w:pPr>
      <w:r>
        <w:rPr>
          <w:rFonts w:ascii="宋体" w:hAnsi="宋体" w:eastAsia="宋体" w:cs="宋体"/>
          <w:sz w:val="24"/>
          <w:szCs w:val="24"/>
        </w:rPr>
        <w:t>屯堡文化拥有丰富且辨识度极高的视觉符号体系：</w:t>
      </w:r>
    </w:p>
    <w:p w14:paraId="1F4CD04E">
      <w:pPr>
        <w:spacing w:after="120" w:line="360" w:lineRule="auto"/>
        <w:jc w:val="both"/>
      </w:pPr>
      <w:r>
        <w:rPr>
          <w:rFonts w:ascii="宋体" w:hAnsi="宋体" w:eastAsia="宋体" w:cs="宋体"/>
          <w:b/>
          <w:bCs/>
          <w:sz w:val="24"/>
          <w:szCs w:val="24"/>
        </w:rPr>
        <w:t>建筑符号。</w:t>
      </w:r>
      <w:r>
        <w:rPr>
          <w:rFonts w:ascii="宋体" w:hAnsi="宋体" w:eastAsia="宋体" w:cs="宋体"/>
          <w:sz w:val="24"/>
          <w:szCs w:val="24"/>
        </w:rPr>
        <w:t xml:space="preserve"> 石墙纹理、石板屋顶、碉楼轮廓、四合院布局、雕花门楼、木窗棂格。这些符号的特点是几何感强、层次丰富，适合抽象化为平面图案或产品造型。</w:t>
      </w:r>
    </w:p>
    <w:p w14:paraId="3A264221">
      <w:pPr>
        <w:spacing w:after="120" w:line="360" w:lineRule="auto"/>
        <w:jc w:val="both"/>
      </w:pPr>
      <w:r>
        <w:rPr>
          <w:rFonts w:ascii="宋体" w:hAnsi="宋体" w:eastAsia="宋体" w:cs="宋体"/>
          <w:b/>
          <w:bCs/>
          <w:sz w:val="24"/>
          <w:szCs w:val="24"/>
        </w:rPr>
        <w:t>地戏符号。</w:t>
      </w:r>
      <w:r>
        <w:rPr>
          <w:rFonts w:ascii="宋体" w:hAnsi="宋体" w:eastAsia="宋体" w:cs="宋体"/>
          <w:sz w:val="24"/>
          <w:szCs w:val="24"/>
        </w:rPr>
        <w:t xml:space="preserve"> 面具造型（关羽、张飞、曹操等角色的脸谱）、头盔装饰（龙纹、凤纹、虎纹）、靠旗形态、兵器造型。地戏面具是最具辨识度的屯堡文化符号，色彩浓烈、造型夸张，极具视觉冲击力。</w:t>
      </w:r>
    </w:p>
    <w:p w14:paraId="2CFCEFBC">
      <w:pPr>
        <w:spacing w:after="120" w:line="360" w:lineRule="auto"/>
        <w:jc w:val="both"/>
      </w:pPr>
      <w:r>
        <w:rPr>
          <w:rFonts w:ascii="宋体" w:hAnsi="宋体" w:eastAsia="宋体" w:cs="宋体"/>
          <w:b/>
          <w:bCs/>
          <w:sz w:val="24"/>
          <w:szCs w:val="24"/>
        </w:rPr>
        <w:t>服饰符号。</w:t>
      </w:r>
      <w:r>
        <w:rPr>
          <w:rFonts w:ascii="宋体" w:hAnsi="宋体" w:eastAsia="宋体" w:cs="宋体"/>
          <w:sz w:val="24"/>
          <w:szCs w:val="24"/>
        </w:rPr>
        <w:t xml:space="preserve"> 凤阳汉装的廓形、丝头系腰的编织纹样、翘头绣花鞋的造型、刺绣的动植物纹样。服饰符号的特点是精致细腻，适合用于高端文创产品。</w:t>
      </w:r>
    </w:p>
    <w:p w14:paraId="79A8DBD8">
      <w:pPr>
        <w:spacing w:after="120" w:line="360" w:lineRule="auto"/>
        <w:jc w:val="both"/>
      </w:pPr>
      <w:r>
        <w:rPr>
          <w:rFonts w:ascii="宋体" w:hAnsi="宋体" w:eastAsia="宋体" w:cs="宋体"/>
          <w:b/>
          <w:bCs/>
          <w:sz w:val="24"/>
          <w:szCs w:val="24"/>
        </w:rPr>
        <w:t>文字符号。</w:t>
      </w:r>
      <w:r>
        <w:rPr>
          <w:rFonts w:ascii="宋体" w:hAnsi="宋体" w:eastAsia="宋体" w:cs="宋体"/>
          <w:sz w:val="24"/>
          <w:szCs w:val="24"/>
        </w:rPr>
        <w:t xml:space="preserve"> 屯堡话中的特色词汇、家谱中的书法字体、碑刻中的铭文。文字符号可以转化为书法文创、字体系列产品。</w:t>
      </w:r>
    </w:p>
    <w:p w14:paraId="3788F0D3">
      <w:pPr>
        <w:pStyle w:val="4"/>
        <w:spacing w:before="300" w:after="200"/>
      </w:pPr>
      <w:bookmarkStart w:id="277" w:name="_Toc13694"/>
      <w:r>
        <w:rPr>
          <w:rFonts w:ascii="黑体" w:hAnsi="黑体" w:eastAsia="黑体" w:cs="黑体"/>
          <w:b/>
          <w:bCs/>
          <w:color w:val="000000"/>
          <w:sz w:val="26"/>
          <w:szCs w:val="26"/>
        </w:rPr>
        <w:t>10.2.2 符号转化的设计策略</w:t>
      </w:r>
      <w:bookmarkEnd w:id="277"/>
    </w:p>
    <w:p w14:paraId="305378A1">
      <w:pPr>
        <w:spacing w:after="120" w:line="360" w:lineRule="auto"/>
        <w:jc w:val="both"/>
      </w:pPr>
      <w:r>
        <w:rPr>
          <w:rFonts w:ascii="宋体" w:hAnsi="宋体" w:eastAsia="宋体" w:cs="宋体"/>
          <w:sz w:val="24"/>
          <w:szCs w:val="24"/>
        </w:rPr>
        <w:t>将传统文化符号转化为现代设计语言，需要运用以下策略：</w:t>
      </w:r>
    </w:p>
    <w:p w14:paraId="22E8D300">
      <w:pPr>
        <w:spacing w:after="120" w:line="360" w:lineRule="auto"/>
        <w:jc w:val="both"/>
      </w:pPr>
      <w:r>
        <w:rPr>
          <w:rFonts w:ascii="宋体" w:hAnsi="宋体" w:eastAsia="宋体" w:cs="宋体"/>
          <w:b/>
          <w:bCs/>
          <w:sz w:val="24"/>
          <w:szCs w:val="24"/>
        </w:rPr>
        <w:t>简化。</w:t>
      </w:r>
      <w:r>
        <w:rPr>
          <w:rFonts w:ascii="宋体" w:hAnsi="宋体" w:eastAsia="宋体" w:cs="宋体"/>
          <w:sz w:val="24"/>
          <w:szCs w:val="24"/>
        </w:rPr>
        <w:t xml:space="preserve"> 提取符号的核心特征，去除细节冗余。例如，将复杂的地戏面具简化为三到四个核心形状和色彩的几何组合。</w:t>
      </w:r>
    </w:p>
    <w:p w14:paraId="6AC66240">
      <w:pPr>
        <w:spacing w:after="120" w:line="360" w:lineRule="auto"/>
        <w:jc w:val="both"/>
      </w:pPr>
      <w:r>
        <w:rPr>
          <w:rFonts w:ascii="宋体" w:hAnsi="宋体" w:eastAsia="宋体" w:cs="宋体"/>
          <w:b/>
          <w:bCs/>
          <w:sz w:val="24"/>
          <w:szCs w:val="24"/>
        </w:rPr>
        <w:t>抽象化。</w:t>
      </w:r>
      <w:r>
        <w:rPr>
          <w:rFonts w:ascii="宋体" w:hAnsi="宋体" w:eastAsia="宋体" w:cs="宋体"/>
          <w:sz w:val="24"/>
          <w:szCs w:val="24"/>
        </w:rPr>
        <w:t xml:space="preserve"> 将具象的符号转化为抽象图案。例如，将石板纹理转化为规律的几何纹样，用于纺织品或壁纸设计。</w:t>
      </w:r>
    </w:p>
    <w:p w14:paraId="3DA6FCE7">
      <w:pPr>
        <w:spacing w:after="120" w:line="360" w:lineRule="auto"/>
        <w:jc w:val="both"/>
      </w:pPr>
      <w:r>
        <w:rPr>
          <w:rFonts w:ascii="宋体" w:hAnsi="宋体" w:eastAsia="宋体" w:cs="宋体"/>
          <w:b/>
          <w:bCs/>
          <w:sz w:val="24"/>
          <w:szCs w:val="24"/>
        </w:rPr>
        <w:t>重构。</w:t>
      </w:r>
      <w:r>
        <w:rPr>
          <w:rFonts w:ascii="宋体" w:hAnsi="宋体" w:eastAsia="宋体" w:cs="宋体"/>
          <w:sz w:val="24"/>
          <w:szCs w:val="24"/>
        </w:rPr>
        <w:t xml:space="preserve"> 打散原有符号的元素，按新的逻辑重组。例如，将不同面具的局部特征（张飞的眼、关羽的眉、曹操的嘴）组合成一个新的"融合面具"。</w:t>
      </w:r>
    </w:p>
    <w:p w14:paraId="20636DD6">
      <w:pPr>
        <w:spacing w:after="120" w:line="360" w:lineRule="auto"/>
        <w:jc w:val="both"/>
      </w:pPr>
      <w:r>
        <w:rPr>
          <w:rFonts w:ascii="宋体" w:hAnsi="宋体" w:eastAsia="宋体" w:cs="宋体"/>
          <w:b/>
          <w:bCs/>
          <w:sz w:val="24"/>
          <w:szCs w:val="24"/>
        </w:rPr>
        <w:t>现代化。</w:t>
      </w:r>
      <w:r>
        <w:rPr>
          <w:rFonts w:ascii="宋体" w:hAnsi="宋体" w:eastAsia="宋体" w:cs="宋体"/>
          <w:sz w:val="24"/>
          <w:szCs w:val="24"/>
        </w:rPr>
        <w:t xml:space="preserve"> 用现代设计语言重新诠释传统符号。例如，用扁平化风格或波普艺术风格重新绘制地戏面具。</w:t>
      </w:r>
    </w:p>
    <w:p w14:paraId="45E379F0">
      <w:pPr>
        <w:spacing w:after="120" w:line="360" w:lineRule="auto"/>
        <w:jc w:val="both"/>
      </w:pPr>
      <w:r>
        <w:rPr>
          <w:rFonts w:ascii="宋体" w:hAnsi="宋体" w:eastAsia="宋体" w:cs="宋体"/>
          <w:b/>
          <w:bCs/>
          <w:sz w:val="24"/>
          <w:szCs w:val="24"/>
        </w:rPr>
        <w:t>功能化。</w:t>
      </w:r>
      <w:r>
        <w:rPr>
          <w:rFonts w:ascii="宋体" w:hAnsi="宋体" w:eastAsia="宋体" w:cs="宋体"/>
          <w:sz w:val="24"/>
          <w:szCs w:val="24"/>
        </w:rPr>
        <w:t xml:space="preserve"> 将符号特征转化为产品的功能性结构。例如，将碉楼的轮廓转化为笔筒的造型，将翘头绣花鞋的曲线转化为U盘的外壳。</w:t>
      </w:r>
    </w:p>
    <w:p w14:paraId="0BFA4549">
      <w:pPr>
        <w:pStyle w:val="4"/>
        <w:spacing w:before="300" w:after="200"/>
      </w:pPr>
      <w:bookmarkStart w:id="278" w:name="_Toc20525"/>
      <w:r>
        <w:rPr>
          <w:rFonts w:ascii="黑体" w:hAnsi="黑体" w:eastAsia="黑体" w:cs="黑体"/>
          <w:b/>
          <w:bCs/>
          <w:color w:val="000000"/>
          <w:sz w:val="26"/>
          <w:szCs w:val="26"/>
        </w:rPr>
        <w:t>10.2.3 典型案例分析</w:t>
      </w:r>
      <w:bookmarkEnd w:id="278"/>
    </w:p>
    <w:p w14:paraId="046C043F">
      <w:pPr>
        <w:spacing w:after="120" w:line="360" w:lineRule="auto"/>
        <w:jc w:val="both"/>
      </w:pPr>
      <w:r>
        <w:rPr>
          <w:rFonts w:ascii="宋体" w:hAnsi="宋体" w:eastAsia="宋体" w:cs="宋体"/>
          <w:b/>
          <w:bCs/>
          <w:sz w:val="24"/>
          <w:szCs w:val="24"/>
        </w:rPr>
        <w:t>"黔影新生"面具盲盒。</w:t>
      </w:r>
      <w:r>
        <w:rPr>
          <w:rFonts w:ascii="宋体" w:hAnsi="宋体" w:eastAsia="宋体" w:cs="宋体"/>
          <w:sz w:val="24"/>
          <w:szCs w:val="24"/>
        </w:rPr>
        <w:t xml:space="preserve"> 将12面经典地戏面具进行Q版化设计——保留每个面具的核心特征（色彩、头盔装饰、表情），但将比例改为可爱的"大头"风格。盲盒的随机抽取机制增加了收藏的趣味性。每只盲盒附带一张知识卡片，介绍该面具的角色故事和文化背景。</w:t>
      </w:r>
    </w:p>
    <w:p w14:paraId="670B71DF">
      <w:pPr>
        <w:spacing w:after="120" w:line="360" w:lineRule="auto"/>
        <w:jc w:val="both"/>
      </w:pPr>
      <w:r>
        <w:rPr>
          <w:rFonts w:ascii="宋体" w:hAnsi="宋体" w:eastAsia="宋体" w:cs="宋体"/>
          <w:b/>
          <w:bCs/>
          <w:sz w:val="24"/>
          <w:szCs w:val="24"/>
        </w:rPr>
        <w:t>"石头记"建筑系列文具。</w:t>
      </w:r>
      <w:r>
        <w:rPr>
          <w:rFonts w:ascii="宋体" w:hAnsi="宋体" w:eastAsia="宋体" w:cs="宋体"/>
          <w:sz w:val="24"/>
          <w:szCs w:val="24"/>
        </w:rPr>
        <w:t xml:space="preserve"> 以屯堡建筑的石墙纹理为设计元素，开发了笔记本封面（压纹仿石材质感）、书签（石窗棂格造型）、钢笔（碉楼轮廓笔夹）。产品定位中高端，主攻商务礼品和文化爱好者市场。</w:t>
      </w:r>
    </w:p>
    <w:p w14:paraId="5E34EBE0">
      <w:pPr>
        <w:spacing w:after="120" w:line="360" w:lineRule="auto"/>
        <w:jc w:val="both"/>
      </w:pPr>
      <w:r>
        <w:rPr>
          <w:rFonts w:ascii="宋体" w:hAnsi="宋体" w:eastAsia="宋体" w:cs="宋体"/>
          <w:b/>
          <w:bCs/>
          <w:sz w:val="24"/>
          <w:szCs w:val="24"/>
        </w:rPr>
        <w:t>"凤阳"丝巾系列。</w:t>
      </w:r>
      <w:r>
        <w:rPr>
          <w:rFonts w:ascii="宋体" w:hAnsi="宋体" w:eastAsia="宋体" w:cs="宋体"/>
          <w:sz w:val="24"/>
          <w:szCs w:val="24"/>
        </w:rPr>
        <w:t xml:space="preserve"> 以屯堡服饰刺绣中的传统纹样（牡丹、蝴蝶、蝙蝠、如意）为基础，由设计师进行现代化重新配色和构图，开发了丝巾、方巾、披肩系列产品。产品面向女性消费群体，兼顾日常使用和文化品位。</w:t>
      </w:r>
    </w:p>
    <w:p w14:paraId="68AD7E37">
      <w:pPr>
        <w:pStyle w:val="3"/>
        <w:spacing w:before="300" w:after="200"/>
      </w:pPr>
      <w:bookmarkStart w:id="279" w:name="_Toc14366"/>
      <w:r>
        <w:rPr>
          <w:rFonts w:ascii="黑体" w:hAnsi="黑体" w:eastAsia="黑体" w:cs="黑体"/>
          <w:b/>
          <w:bCs/>
          <w:color w:val="000000"/>
          <w:sz w:val="28"/>
          <w:szCs w:val="28"/>
        </w:rPr>
        <w:t>10.3 屯堡文化IP运营</w:t>
      </w:r>
      <w:bookmarkEnd w:id="279"/>
    </w:p>
    <w:p w14:paraId="14E6DD8F">
      <w:pPr>
        <w:pStyle w:val="4"/>
        <w:spacing w:before="300" w:after="200"/>
      </w:pPr>
      <w:bookmarkStart w:id="280" w:name="_Toc5184"/>
      <w:r>
        <w:rPr>
          <w:rFonts w:ascii="黑体" w:hAnsi="黑体" w:eastAsia="黑体" w:cs="黑体"/>
          <w:b/>
          <w:bCs/>
          <w:color w:val="000000"/>
          <w:sz w:val="26"/>
          <w:szCs w:val="26"/>
        </w:rPr>
        <w:t>10.3.1 文化IP的概念</w:t>
      </w:r>
      <w:bookmarkEnd w:id="280"/>
    </w:p>
    <w:p w14:paraId="0AF7D6D6">
      <w:pPr>
        <w:spacing w:after="120" w:line="360" w:lineRule="auto"/>
        <w:jc w:val="both"/>
      </w:pPr>
      <w:r>
        <w:rPr>
          <w:rFonts w:ascii="宋体" w:hAnsi="宋体" w:eastAsia="宋体" w:cs="宋体"/>
          <w:sz w:val="24"/>
          <w:szCs w:val="24"/>
        </w:rPr>
        <w:t>IP（Intellectual Property，知识产权）在文化产业中指具有广泛认知度和商业开发价值的文化符号或内容品牌。一个成功的文化IP通常具有以下特征：高辨识度——人们一眼就能认出；强情感联结——能够唤起人们的文化记忆和情感共鸣；多维度可开发——可以衍生出影视、游戏、文创、主题空间等多种产品形态。</w:t>
      </w:r>
    </w:p>
    <w:p w14:paraId="7965DB8D">
      <w:pPr>
        <w:spacing w:after="120" w:line="360" w:lineRule="auto"/>
        <w:jc w:val="both"/>
      </w:pPr>
      <w:r>
        <w:rPr>
          <w:rFonts w:ascii="宋体" w:hAnsi="宋体" w:eastAsia="宋体" w:cs="宋体"/>
          <w:sz w:val="24"/>
          <w:szCs w:val="24"/>
        </w:rPr>
        <w:t>屯堡文化IP的独特价值在于：它是"活着的"IP——不是已经定型的古代文化遗产，而是仍在演变中的活态文化；它是"在地的"IP——与特定地理空间（安顺、黔中）和社区（屯堡人）紧密绑定，具有不可替代的原真性；它是"融合的"IP——融汇了汉族与少数民族、军事与农耕、历史与当代的多重元素，具有丰富的叙事可能。</w:t>
      </w:r>
    </w:p>
    <w:p w14:paraId="3228D669">
      <w:pPr>
        <w:pStyle w:val="4"/>
        <w:spacing w:before="300" w:after="200"/>
      </w:pPr>
      <w:bookmarkStart w:id="281" w:name="_Toc20522"/>
      <w:r>
        <w:rPr>
          <w:rFonts w:ascii="黑体" w:hAnsi="黑体" w:eastAsia="黑体" w:cs="黑体"/>
          <w:b/>
          <w:bCs/>
          <w:color w:val="000000"/>
          <w:sz w:val="26"/>
          <w:szCs w:val="26"/>
        </w:rPr>
        <w:t>10.3.2 IP运营策略</w:t>
      </w:r>
      <w:bookmarkEnd w:id="281"/>
    </w:p>
    <w:p w14:paraId="37A1ED80">
      <w:pPr>
        <w:spacing w:after="120" w:line="360" w:lineRule="auto"/>
        <w:jc w:val="both"/>
      </w:pPr>
      <w:r>
        <w:rPr>
          <w:rFonts w:ascii="宋体" w:hAnsi="宋体" w:eastAsia="宋体" w:cs="宋体"/>
          <w:b/>
          <w:bCs/>
          <w:sz w:val="24"/>
          <w:szCs w:val="24"/>
        </w:rPr>
        <w:t>IP定位。</w:t>
      </w:r>
      <w:r>
        <w:rPr>
          <w:rFonts w:ascii="宋体" w:hAnsi="宋体" w:eastAsia="宋体" w:cs="宋体"/>
          <w:sz w:val="24"/>
          <w:szCs w:val="24"/>
        </w:rPr>
        <w:t xml:space="preserve"> 明确屯堡文化IP的核心定位——"六百年大明遗风，活着的明代文化"。这一定位既突出了屯堡文化的独特性（明代、活态），又具有通俗易懂的传播力。</w:t>
      </w:r>
    </w:p>
    <w:p w14:paraId="4D8D4A23">
      <w:pPr>
        <w:spacing w:after="120" w:line="360" w:lineRule="auto"/>
        <w:jc w:val="both"/>
      </w:pPr>
      <w:r>
        <w:rPr>
          <w:rFonts w:ascii="宋体" w:hAnsi="宋体" w:eastAsia="宋体" w:cs="宋体"/>
          <w:b/>
          <w:bCs/>
          <w:sz w:val="24"/>
          <w:szCs w:val="24"/>
        </w:rPr>
        <w:t>内容矩阵。</w:t>
      </w:r>
      <w:r>
        <w:rPr>
          <w:rFonts w:ascii="宋体" w:hAnsi="宋体" w:eastAsia="宋体" w:cs="宋体"/>
          <w:sz w:val="24"/>
          <w:szCs w:val="24"/>
        </w:rPr>
        <w:t xml:space="preserve"> 围绕核心IP打造内容矩阵：纪录片和短视频——讲述屯堡故事，建立文化认知；地戏和民俗演出——提供现场体验，强化情感联结；文创产品——将IP转化为可消费的实体；数字内容（游戏、动漫、表情包）——触达年轻用户群体。</w:t>
      </w:r>
    </w:p>
    <w:p w14:paraId="10FA6269">
      <w:pPr>
        <w:spacing w:after="120" w:line="360" w:lineRule="auto"/>
        <w:jc w:val="both"/>
      </w:pPr>
      <w:r>
        <w:rPr>
          <w:rFonts w:ascii="宋体" w:hAnsi="宋体" w:eastAsia="宋体" w:cs="宋体"/>
          <w:b/>
          <w:bCs/>
          <w:sz w:val="24"/>
          <w:szCs w:val="24"/>
        </w:rPr>
        <w:t>跨界合作。</w:t>
      </w:r>
      <w:r>
        <w:rPr>
          <w:rFonts w:ascii="宋体" w:hAnsi="宋体" w:eastAsia="宋体" w:cs="宋体"/>
          <w:sz w:val="24"/>
          <w:szCs w:val="24"/>
        </w:rPr>
        <w:t xml:space="preserve"> 与影视、游戏、时尚、餐饮等行业的品牌进行跨界合作，扩大IP的受众面和影响力。例如，与热门手游合作推出"地戏皮肤"、与连锁饮品品牌合作推出"屯堡限定杯套"、与潮牌合作推出"屯堡联名系列"。</w:t>
      </w:r>
    </w:p>
    <w:p w14:paraId="5A827F72">
      <w:pPr>
        <w:spacing w:after="120" w:line="360" w:lineRule="auto"/>
        <w:jc w:val="both"/>
      </w:pPr>
      <w:r>
        <w:rPr>
          <w:rFonts w:ascii="宋体" w:hAnsi="宋体" w:eastAsia="宋体" w:cs="宋体"/>
          <w:b/>
          <w:bCs/>
          <w:sz w:val="24"/>
          <w:szCs w:val="24"/>
        </w:rPr>
        <w:t>授权体系。</w:t>
      </w:r>
      <w:r>
        <w:rPr>
          <w:rFonts w:ascii="宋体" w:hAnsi="宋体" w:eastAsia="宋体" w:cs="宋体"/>
          <w:sz w:val="24"/>
          <w:szCs w:val="24"/>
        </w:rPr>
        <w:t xml:space="preserve"> 建立规范的IP授权体系，包括授权类型（独家/非独家、全品类/单品类）、授权期限、授权区域、授权费用（保底金+销售额分成）、质量审核（授权产品的设计须经IP方审核）等。</w:t>
      </w:r>
    </w:p>
    <w:p w14:paraId="13CDE62F">
      <w:pPr>
        <w:pStyle w:val="4"/>
        <w:spacing w:before="300" w:after="200"/>
      </w:pPr>
      <w:bookmarkStart w:id="282" w:name="_Toc18157"/>
      <w:r>
        <w:rPr>
          <w:rFonts w:ascii="黑体" w:hAnsi="黑体" w:eastAsia="黑体" w:cs="黑体"/>
          <w:b/>
          <w:bCs/>
          <w:color w:val="000000"/>
          <w:sz w:val="26"/>
          <w:szCs w:val="26"/>
        </w:rPr>
        <w:t>10.3.3 IP保护</w:t>
      </w:r>
      <w:bookmarkEnd w:id="282"/>
    </w:p>
    <w:p w14:paraId="5F9002C3">
      <w:pPr>
        <w:spacing w:after="120" w:line="360" w:lineRule="auto"/>
        <w:jc w:val="both"/>
      </w:pPr>
      <w:r>
        <w:rPr>
          <w:rFonts w:ascii="宋体" w:hAnsi="宋体" w:eastAsia="宋体" w:cs="宋体"/>
          <w:sz w:val="24"/>
          <w:szCs w:val="24"/>
        </w:rPr>
        <w:t>文化IP的生命线是知识产权保护。屯堡文化IP保护涉及以下方面：</w:t>
      </w:r>
    </w:p>
    <w:p w14:paraId="77CAAF49">
      <w:pPr>
        <w:spacing w:after="120" w:line="360" w:lineRule="auto"/>
        <w:jc w:val="both"/>
      </w:pPr>
      <w:r>
        <w:rPr>
          <w:rFonts w:ascii="宋体" w:hAnsi="宋体" w:eastAsia="宋体" w:cs="宋体"/>
          <w:b/>
          <w:bCs/>
          <w:sz w:val="24"/>
          <w:szCs w:val="24"/>
        </w:rPr>
        <w:t>商标保护。</w:t>
      </w:r>
      <w:r>
        <w:rPr>
          <w:rFonts w:ascii="宋体" w:hAnsi="宋体" w:eastAsia="宋体" w:cs="宋体"/>
          <w:sz w:val="24"/>
          <w:szCs w:val="24"/>
        </w:rPr>
        <w:t xml:space="preserve"> 对"屯堡""天龙屯堡""地戏""凤阳汉装"等核心品牌名称进行商标注册。</w:t>
      </w:r>
    </w:p>
    <w:p w14:paraId="07070289">
      <w:pPr>
        <w:spacing w:after="120" w:line="360" w:lineRule="auto"/>
        <w:jc w:val="both"/>
      </w:pPr>
      <w:r>
        <w:rPr>
          <w:rFonts w:ascii="宋体" w:hAnsi="宋体" w:eastAsia="宋体" w:cs="宋体"/>
          <w:b/>
          <w:bCs/>
          <w:sz w:val="24"/>
          <w:szCs w:val="24"/>
        </w:rPr>
        <w:t>著作权保护。</w:t>
      </w:r>
      <w:r>
        <w:rPr>
          <w:rFonts w:ascii="宋体" w:hAnsi="宋体" w:eastAsia="宋体" w:cs="宋体"/>
          <w:sz w:val="24"/>
          <w:szCs w:val="24"/>
        </w:rPr>
        <w:t xml:space="preserve"> 对文创产品的设计图稿、数字形象、宣传文案等进行著作权登记。</w:t>
      </w:r>
    </w:p>
    <w:p w14:paraId="6B955703">
      <w:pPr>
        <w:spacing w:after="120" w:line="360" w:lineRule="auto"/>
        <w:jc w:val="both"/>
      </w:pPr>
      <w:r>
        <w:rPr>
          <w:rFonts w:ascii="宋体" w:hAnsi="宋体" w:eastAsia="宋体" w:cs="宋体"/>
          <w:b/>
          <w:bCs/>
          <w:sz w:val="24"/>
          <w:szCs w:val="24"/>
        </w:rPr>
        <w:t>专利保护。</w:t>
      </w:r>
      <w:r>
        <w:rPr>
          <w:rFonts w:ascii="宋体" w:hAnsi="宋体" w:eastAsia="宋体" w:cs="宋体"/>
          <w:sz w:val="24"/>
          <w:szCs w:val="24"/>
        </w:rPr>
        <w:t xml:space="preserve"> 对文创产品的独特外观设计申请外观设计专利。</w:t>
      </w:r>
    </w:p>
    <w:p w14:paraId="24C0A161">
      <w:pPr>
        <w:spacing w:after="120" w:line="360" w:lineRule="auto"/>
        <w:jc w:val="both"/>
      </w:pPr>
      <w:r>
        <w:rPr>
          <w:rFonts w:ascii="宋体" w:hAnsi="宋体" w:eastAsia="宋体" w:cs="宋体"/>
          <w:b/>
          <w:bCs/>
          <w:sz w:val="24"/>
          <w:szCs w:val="24"/>
        </w:rPr>
        <w:t>地理标志保护。</w:t>
      </w:r>
      <w:r>
        <w:rPr>
          <w:rFonts w:ascii="宋体" w:hAnsi="宋体" w:eastAsia="宋体" w:cs="宋体"/>
          <w:sz w:val="24"/>
          <w:szCs w:val="24"/>
        </w:rPr>
        <w:t xml:space="preserve"> 探索将"安顺地戏""屯堡服饰"等注册为地理标志或证明商标。</w:t>
      </w:r>
    </w:p>
    <w:p w14:paraId="3400A830">
      <w:pPr>
        <w:spacing w:after="120" w:line="360" w:lineRule="auto"/>
        <w:jc w:val="both"/>
      </w:pPr>
      <w:r>
        <w:rPr>
          <w:rFonts w:ascii="宋体" w:hAnsi="宋体" w:eastAsia="宋体" w:cs="宋体"/>
          <w:b/>
          <w:bCs/>
          <w:sz w:val="24"/>
          <w:szCs w:val="24"/>
        </w:rPr>
        <w:t>非遗保护。</w:t>
      </w:r>
      <w:r>
        <w:rPr>
          <w:rFonts w:ascii="宋体" w:hAnsi="宋体" w:eastAsia="宋体" w:cs="宋体"/>
          <w:sz w:val="24"/>
          <w:szCs w:val="24"/>
        </w:rPr>
        <w:t xml:space="preserve"> 依托非遗保护制度，保护地戏、服饰制作等非遗项目的文化内涵不被歪曲和滥用。</w:t>
      </w:r>
    </w:p>
    <w:p w14:paraId="73250F2C">
      <w:pPr>
        <w:pStyle w:val="3"/>
        <w:spacing w:before="300" w:after="200"/>
      </w:pPr>
      <w:bookmarkStart w:id="283" w:name="_Toc20692"/>
      <w:r>
        <w:rPr>
          <w:rFonts w:ascii="黑体" w:hAnsi="黑体" w:eastAsia="黑体" w:cs="黑体"/>
          <w:b/>
          <w:bCs/>
          <w:color w:val="000000"/>
          <w:sz w:val="28"/>
          <w:szCs w:val="28"/>
        </w:rPr>
        <w:t>10.4 数字文创新模式</w:t>
      </w:r>
      <w:bookmarkEnd w:id="283"/>
    </w:p>
    <w:p w14:paraId="77AD7006">
      <w:pPr>
        <w:pStyle w:val="4"/>
        <w:spacing w:before="300" w:after="200"/>
      </w:pPr>
      <w:bookmarkStart w:id="284" w:name="_Toc24445"/>
      <w:r>
        <w:rPr>
          <w:rFonts w:ascii="黑体" w:hAnsi="黑体" w:eastAsia="黑体" w:cs="黑体"/>
          <w:b/>
          <w:bCs/>
          <w:color w:val="000000"/>
          <w:sz w:val="26"/>
          <w:szCs w:val="26"/>
        </w:rPr>
        <w:t>10.4.1 数字藏品（NFT）</w:t>
      </w:r>
      <w:bookmarkEnd w:id="284"/>
    </w:p>
    <w:p w14:paraId="0A64920B">
      <w:pPr>
        <w:spacing w:after="120" w:line="360" w:lineRule="auto"/>
        <w:jc w:val="both"/>
      </w:pPr>
      <w:r>
        <w:rPr>
          <w:rFonts w:ascii="宋体" w:hAnsi="宋体" w:eastAsia="宋体" w:cs="宋体"/>
          <w:sz w:val="24"/>
          <w:szCs w:val="24"/>
        </w:rPr>
        <w:t>数字藏品是将文化IP转化为基于区块链的限量数字资产。与实体文创相比，数字藏品具有唯一性（每个藏品有链上唯一标识）、可溯源性（创作和交易记录全程可查）、可编程性（通过智能合约实现版税自动分配）。</w:t>
      </w:r>
    </w:p>
    <w:p w14:paraId="63D4AAB6">
      <w:pPr>
        <w:spacing w:after="120" w:line="360" w:lineRule="auto"/>
        <w:jc w:val="both"/>
      </w:pPr>
      <w:r>
        <w:rPr>
          <w:rFonts w:ascii="宋体" w:hAnsi="宋体" w:eastAsia="宋体" w:cs="宋体"/>
          <w:sz w:val="24"/>
          <w:szCs w:val="24"/>
        </w:rPr>
        <w:t>屯堡文化数字藏品的可能方向：地戏面具数字藏品——每个面具一个唯一编号，附带该面具的创作故事和传承人签名；建筑三维模型数字藏品——限量发行的屯堡古建筑高精度三维模型；地戏表演片段数字藏品——经典地戏表演的限量数字版。</w:t>
      </w:r>
    </w:p>
    <w:p w14:paraId="51C4C1C9">
      <w:pPr>
        <w:spacing w:after="120" w:line="360" w:lineRule="auto"/>
        <w:jc w:val="both"/>
      </w:pPr>
      <w:r>
        <w:rPr>
          <w:rFonts w:ascii="宋体" w:hAnsi="宋体" w:eastAsia="宋体" w:cs="宋体"/>
          <w:sz w:val="24"/>
          <w:szCs w:val="24"/>
        </w:rPr>
        <w:t>数字藏品的核心价值不在于"数字文件"本身（这些文件可以被无限复制），而在于区块链上的"所有权证明"和收藏社群的身份认同。数字藏品的成功运营需要建立活跃的藏家社群，而非简单"发行-销售"。</w:t>
      </w:r>
    </w:p>
    <w:p w14:paraId="5AA700ED">
      <w:pPr>
        <w:pStyle w:val="4"/>
        <w:spacing w:before="300" w:after="200"/>
      </w:pPr>
      <w:bookmarkStart w:id="285" w:name="_Toc2457"/>
      <w:r>
        <w:rPr>
          <w:rFonts w:ascii="黑体" w:hAnsi="黑体" w:eastAsia="黑体" w:cs="黑体"/>
          <w:b/>
          <w:bCs/>
          <w:color w:val="000000"/>
          <w:sz w:val="26"/>
          <w:szCs w:val="26"/>
        </w:rPr>
        <w:t>10.4.2 AI生成文创</w:t>
      </w:r>
      <w:bookmarkEnd w:id="285"/>
    </w:p>
    <w:p w14:paraId="7104DBAC">
      <w:pPr>
        <w:spacing w:after="120" w:line="360" w:lineRule="auto"/>
        <w:jc w:val="both"/>
      </w:pPr>
      <w:r>
        <w:rPr>
          <w:rFonts w:ascii="宋体" w:hAnsi="宋体" w:eastAsia="宋体" w:cs="宋体"/>
          <w:sz w:val="24"/>
          <w:szCs w:val="24"/>
        </w:rPr>
        <w:t>AI生成技术为文创产品开发提供了新的可能。贵州大学"黔影新生"团队的实践展示了AI在以下方面的应用：</w:t>
      </w:r>
    </w:p>
    <w:p w14:paraId="5A9AD535">
      <w:pPr>
        <w:spacing w:after="120" w:line="360" w:lineRule="auto"/>
        <w:jc w:val="both"/>
      </w:pPr>
      <w:r>
        <w:rPr>
          <w:rFonts w:ascii="宋体" w:hAnsi="宋体" w:eastAsia="宋体" w:cs="宋体"/>
          <w:b/>
          <w:bCs/>
          <w:sz w:val="24"/>
          <w:szCs w:val="24"/>
        </w:rPr>
        <w:t>风格化生成。</w:t>
      </w:r>
      <w:r>
        <w:rPr>
          <w:rFonts w:ascii="宋体" w:hAnsi="宋体" w:eastAsia="宋体" w:cs="宋体"/>
          <w:sz w:val="24"/>
          <w:szCs w:val="24"/>
        </w:rPr>
        <w:t xml:space="preserve"> 训练AI模型学习地戏面具的风格特征，批量生成新面具设计。AI生成的设计可以作为设计师的灵感来源，也可以直接用于产品开发。</w:t>
      </w:r>
    </w:p>
    <w:p w14:paraId="71850B85">
      <w:pPr>
        <w:spacing w:after="120" w:line="360" w:lineRule="auto"/>
        <w:jc w:val="both"/>
      </w:pPr>
      <w:r>
        <w:rPr>
          <w:rFonts w:ascii="宋体" w:hAnsi="宋体" w:eastAsia="宋体" w:cs="宋体"/>
          <w:b/>
          <w:bCs/>
          <w:sz w:val="24"/>
          <w:szCs w:val="24"/>
        </w:rPr>
        <w:t>个性化定制。</w:t>
      </w:r>
      <w:r>
        <w:rPr>
          <w:rFonts w:ascii="宋体" w:hAnsi="宋体" w:eastAsia="宋体" w:cs="宋体"/>
          <w:sz w:val="24"/>
          <w:szCs w:val="24"/>
        </w:rPr>
        <w:t xml:space="preserve"> 基于用户的照片或偏好输入，AI生成融合用户个人特征和屯堡文化元素的定制化产品（如"你的地戏面具形象"）。</w:t>
      </w:r>
    </w:p>
    <w:p w14:paraId="250652DF">
      <w:pPr>
        <w:spacing w:after="120" w:line="360" w:lineRule="auto"/>
        <w:jc w:val="both"/>
      </w:pPr>
      <w:r>
        <w:rPr>
          <w:rFonts w:ascii="宋体" w:hAnsi="宋体" w:eastAsia="宋体" w:cs="宋体"/>
          <w:b/>
          <w:bCs/>
          <w:sz w:val="24"/>
          <w:szCs w:val="24"/>
        </w:rPr>
        <w:t>动态内容生成。</w:t>
      </w:r>
      <w:r>
        <w:rPr>
          <w:rFonts w:ascii="宋体" w:hAnsi="宋体" w:eastAsia="宋体" w:cs="宋体"/>
          <w:sz w:val="24"/>
          <w:szCs w:val="24"/>
        </w:rPr>
        <w:t xml:space="preserve"> AI实时生成内容，用于互动式体验。例如，游客在平板上画几笔，AI将其完善为地戏风格的完整画面。</w:t>
      </w:r>
    </w:p>
    <w:p w14:paraId="413741C9">
      <w:pPr>
        <w:spacing w:after="120" w:line="360" w:lineRule="auto"/>
        <w:jc w:val="both"/>
      </w:pPr>
      <w:r>
        <w:rPr>
          <w:rFonts w:ascii="宋体" w:hAnsi="宋体" w:eastAsia="宋体" w:cs="宋体"/>
          <w:sz w:val="24"/>
          <w:szCs w:val="24"/>
        </w:rPr>
        <w:t>AI文创的伦理边界需要注意：AI生成内容的著作权归属、AI对传统手工艺传承的影响、AI生成内容的文化准确性等。</w:t>
      </w:r>
    </w:p>
    <w:p w14:paraId="525D18F0">
      <w:pPr>
        <w:pStyle w:val="4"/>
        <w:spacing w:before="300" w:after="200"/>
      </w:pPr>
      <w:bookmarkStart w:id="286" w:name="_Toc14186"/>
      <w:r>
        <w:rPr>
          <w:rFonts w:ascii="黑体" w:hAnsi="黑体" w:eastAsia="黑体" w:cs="黑体"/>
          <w:b/>
          <w:bCs/>
          <w:color w:val="000000"/>
          <w:sz w:val="26"/>
          <w:szCs w:val="26"/>
        </w:rPr>
        <w:t>10.4.3 元宇宙文创</w:t>
      </w:r>
      <w:bookmarkEnd w:id="286"/>
    </w:p>
    <w:p w14:paraId="609318D7">
      <w:pPr>
        <w:spacing w:after="120" w:line="360" w:lineRule="auto"/>
        <w:jc w:val="both"/>
      </w:pPr>
      <w:r>
        <w:rPr>
          <w:rFonts w:ascii="宋体" w:hAnsi="宋体" w:eastAsia="宋体" w:cs="宋体"/>
          <w:sz w:val="24"/>
          <w:szCs w:val="24"/>
        </w:rPr>
        <w:t>随着元宇宙概念的发展，"虚拟世界的文创产品"成为一个新兴方向。在元宇宙中，用户的虚拟化身（Avatar）需要虚拟服饰、虚拟配饰、虚拟家居等数字消费品。</w:t>
      </w:r>
    </w:p>
    <w:p w14:paraId="3DA7DC0A">
      <w:pPr>
        <w:spacing w:after="120" w:line="360" w:lineRule="auto"/>
        <w:jc w:val="both"/>
      </w:pPr>
      <w:r>
        <w:rPr>
          <w:rFonts w:ascii="宋体" w:hAnsi="宋体" w:eastAsia="宋体" w:cs="宋体"/>
          <w:sz w:val="24"/>
          <w:szCs w:val="24"/>
        </w:rPr>
        <w:t>屯堡文化元宇宙文创的可能方向：虚拟凤阳汉装——用户的虚拟化身可以穿戴屯堡传统服饰；虚拟地戏面具配饰——虚拟化身的装饰品；虚拟屯堡建筑——用户在元宇宙中的"数字家园"。</w:t>
      </w:r>
    </w:p>
    <w:p w14:paraId="1EF75828">
      <w:pPr>
        <w:pStyle w:val="3"/>
        <w:spacing w:before="300" w:after="200"/>
      </w:pPr>
      <w:bookmarkStart w:id="287" w:name="_Toc24118"/>
      <w:r>
        <w:rPr>
          <w:rFonts w:ascii="黑体" w:hAnsi="黑体" w:eastAsia="黑体" w:cs="黑体"/>
          <w:b/>
          <w:bCs/>
          <w:color w:val="000000"/>
          <w:sz w:val="28"/>
          <w:szCs w:val="28"/>
        </w:rPr>
        <w:t>10.5 文创产业生态系统建设</w:t>
      </w:r>
      <w:bookmarkEnd w:id="287"/>
    </w:p>
    <w:p w14:paraId="44F36022">
      <w:pPr>
        <w:pStyle w:val="4"/>
        <w:spacing w:before="300" w:after="200"/>
      </w:pPr>
      <w:bookmarkStart w:id="288" w:name="_Toc31491"/>
      <w:r>
        <w:rPr>
          <w:rFonts w:ascii="黑体" w:hAnsi="黑体" w:eastAsia="黑体" w:cs="黑体"/>
          <w:b/>
          <w:bCs/>
          <w:color w:val="000000"/>
          <w:sz w:val="26"/>
          <w:szCs w:val="26"/>
        </w:rPr>
        <w:t>10.5.1 产业链整合</w:t>
      </w:r>
      <w:bookmarkEnd w:id="288"/>
    </w:p>
    <w:p w14:paraId="26900F62">
      <w:pPr>
        <w:spacing w:after="120" w:line="360" w:lineRule="auto"/>
        <w:jc w:val="both"/>
      </w:pPr>
      <w:r>
        <w:rPr>
          <w:rFonts w:ascii="宋体" w:hAnsi="宋体" w:eastAsia="宋体" w:cs="宋体"/>
          <w:sz w:val="24"/>
          <w:szCs w:val="24"/>
        </w:rPr>
        <w:t>屯堡文创产业的健康发展需要完整的产业链支撑：上游——文化资源保护与数字化（确保IP源头的质量和可持续性）；中游——创意设计与产品开发（设计师、手工艺人、AI工具）；下游——生产制造（代工厂、手工艺作坊）；末端——渠道销售与品牌营销（线上电商、线下实体店、景区专柜、社交媒体）。</w:t>
      </w:r>
    </w:p>
    <w:p w14:paraId="535BF491">
      <w:pPr>
        <w:pStyle w:val="4"/>
        <w:spacing w:before="300" w:after="200"/>
      </w:pPr>
      <w:bookmarkStart w:id="289" w:name="_Toc19259"/>
      <w:r>
        <w:rPr>
          <w:rFonts w:ascii="黑体" w:hAnsi="黑体" w:eastAsia="黑体" w:cs="黑体"/>
          <w:b/>
          <w:bCs/>
          <w:color w:val="000000"/>
          <w:sz w:val="26"/>
          <w:szCs w:val="26"/>
        </w:rPr>
        <w:t>10.5.2 人才培养</w:t>
      </w:r>
      <w:bookmarkEnd w:id="289"/>
    </w:p>
    <w:p w14:paraId="2FCE6FFD">
      <w:pPr>
        <w:spacing w:after="120" w:line="360" w:lineRule="auto"/>
        <w:jc w:val="both"/>
      </w:pPr>
      <w:r>
        <w:rPr>
          <w:rFonts w:ascii="宋体" w:hAnsi="宋体" w:eastAsia="宋体" w:cs="宋体"/>
          <w:sz w:val="24"/>
          <w:szCs w:val="24"/>
        </w:rPr>
        <w:t>文创产业的核心竞争力是创意人才。安顺学院数字文旅专业应开设文创设计方向课程，培养既了解屯堡文化又掌握现代设计方法的复合型人才。同时，加强与贵州大学美术学院、省内设计公司的合作，建立产学研协同育人机制。</w:t>
      </w:r>
    </w:p>
    <w:p w14:paraId="25B53C7B">
      <w:pPr>
        <w:pStyle w:val="4"/>
        <w:spacing w:before="300" w:after="200"/>
      </w:pPr>
      <w:bookmarkStart w:id="290" w:name="_Toc6186"/>
      <w:r>
        <w:rPr>
          <w:rFonts w:ascii="黑体" w:hAnsi="黑体" w:eastAsia="黑体" w:cs="黑体"/>
          <w:b/>
          <w:bCs/>
          <w:color w:val="000000"/>
          <w:sz w:val="26"/>
          <w:szCs w:val="26"/>
        </w:rPr>
        <w:t>10.5.3 社区参与</w:t>
      </w:r>
      <w:bookmarkEnd w:id="290"/>
    </w:p>
    <w:p w14:paraId="38A0623D">
      <w:pPr>
        <w:spacing w:after="120" w:line="360" w:lineRule="auto"/>
        <w:jc w:val="both"/>
      </w:pPr>
      <w:r>
        <w:rPr>
          <w:rFonts w:ascii="宋体" w:hAnsi="宋体" w:eastAsia="宋体" w:cs="宋体"/>
          <w:sz w:val="24"/>
          <w:szCs w:val="24"/>
        </w:rPr>
        <w:t>文创产业的源头是屯堡社区，社区应成为文创产业链的利益主体。鼓励社区手工艺人参与产品开发（提供传统技艺支持）、社区年轻人参与设计创意（提供在地视角）、社区集体经济参与投资经营（分享产业收益）。</w:t>
      </w:r>
    </w:p>
    <w:p w14:paraId="14886EE5">
      <w:pPr>
        <w:pStyle w:val="3"/>
        <w:spacing w:before="300" w:after="200"/>
      </w:pPr>
      <w:bookmarkStart w:id="291" w:name="_Toc9289"/>
      <w:r>
        <w:rPr>
          <w:rFonts w:ascii="黑体" w:hAnsi="黑体" w:eastAsia="黑体" w:cs="黑体"/>
          <w:b/>
          <w:bCs/>
          <w:color w:val="000000"/>
          <w:sz w:val="28"/>
          <w:szCs w:val="28"/>
        </w:rPr>
        <w:t>本章小结</w:t>
      </w:r>
      <w:bookmarkEnd w:id="291"/>
    </w:p>
    <w:p w14:paraId="2CA26814">
      <w:pPr>
        <w:spacing w:after="120" w:line="360" w:lineRule="auto"/>
        <w:jc w:val="both"/>
      </w:pPr>
      <w:r>
        <w:rPr>
          <w:rFonts w:ascii="宋体" w:hAnsi="宋体" w:eastAsia="宋体" w:cs="宋体"/>
          <w:sz w:val="24"/>
          <w:szCs w:val="24"/>
        </w:rPr>
        <w:t>屯堡文创产品开发应从文化资源梳理出发，通过符号提取与设计转化，开发实用型、装饰型、收藏型、体验型和数字型五大类产品。IP运营需要明确定位、打造内容矩阵、开展跨界合作、建立授权体系和保护知识产权。数字文创（NFT、AI生成、元宇宙）为传统文化IP注入了新的活力。文创产业的可持续发展需要完整的产业链、充足的人才储备和深度的社区参与。</w:t>
      </w:r>
    </w:p>
    <w:p w14:paraId="7867068B">
      <w:pPr>
        <w:pStyle w:val="3"/>
        <w:spacing w:before="300" w:after="200"/>
      </w:pPr>
      <w:bookmarkStart w:id="292" w:name="_Toc25627"/>
      <w:r>
        <w:rPr>
          <w:rFonts w:ascii="黑体" w:hAnsi="黑体" w:eastAsia="黑体" w:cs="黑体"/>
          <w:b/>
          <w:bCs/>
          <w:color w:val="000000"/>
          <w:sz w:val="28"/>
          <w:szCs w:val="28"/>
        </w:rPr>
        <w:t>思考与练习</w:t>
      </w:r>
      <w:bookmarkEnd w:id="292"/>
    </w:p>
    <w:p w14:paraId="0D0A2C5E">
      <w:pPr>
        <w:pStyle w:val="19"/>
        <w:numPr>
          <w:ilvl w:val="0"/>
          <w:numId w:val="2"/>
        </w:numPr>
        <w:spacing w:after="60" w:line="340" w:lineRule="auto"/>
      </w:pPr>
      <w:r>
        <w:rPr>
          <w:rFonts w:ascii="宋体" w:hAnsi="宋体" w:eastAsia="宋体" w:cs="宋体"/>
          <w:sz w:val="24"/>
          <w:szCs w:val="24"/>
        </w:rPr>
        <w:t>从屯堡文化中选择3个视觉符号，分别设计一款文创产品方案。</w:t>
      </w:r>
    </w:p>
    <w:p w14:paraId="752CAF88">
      <w:pPr>
        <w:pStyle w:val="19"/>
        <w:numPr>
          <w:ilvl w:val="0"/>
          <w:numId w:val="2"/>
        </w:numPr>
        <w:spacing w:after="60" w:line="340" w:lineRule="auto"/>
      </w:pPr>
      <w:r>
        <w:rPr>
          <w:rFonts w:ascii="宋体" w:hAnsi="宋体" w:eastAsia="宋体" w:cs="宋体"/>
          <w:sz w:val="24"/>
          <w:szCs w:val="24"/>
        </w:rPr>
        <w:t>为屯堡文化IP撰写一份品牌定位说明书。</w:t>
      </w:r>
    </w:p>
    <w:p w14:paraId="2CC2F58E">
      <w:pPr>
        <w:pStyle w:val="19"/>
        <w:numPr>
          <w:ilvl w:val="0"/>
          <w:numId w:val="2"/>
        </w:numPr>
        <w:spacing w:after="60" w:line="340" w:lineRule="auto"/>
      </w:pPr>
      <w:r>
        <w:rPr>
          <w:rFonts w:ascii="宋体" w:hAnsi="宋体" w:eastAsia="宋体" w:cs="宋体"/>
          <w:sz w:val="24"/>
          <w:szCs w:val="24"/>
        </w:rPr>
        <w:t>分析故宫文创的成功经验，提出对屯堡文创的借鉴建议。</w:t>
      </w:r>
    </w:p>
    <w:p w14:paraId="0EC47E7E">
      <w:pPr>
        <w:pStyle w:val="19"/>
        <w:numPr>
          <w:ilvl w:val="0"/>
          <w:numId w:val="2"/>
        </w:numPr>
        <w:spacing w:after="60" w:line="340" w:lineRule="auto"/>
      </w:pPr>
      <w:r>
        <w:rPr>
          <w:rFonts w:ascii="宋体" w:hAnsi="宋体" w:eastAsia="宋体" w:cs="宋体"/>
          <w:sz w:val="24"/>
          <w:szCs w:val="24"/>
        </w:rPr>
        <w:t>讨论AI生成文创的伦理边界。</w:t>
      </w:r>
    </w:p>
    <w:p w14:paraId="54DA6ED1">
      <w:pPr>
        <w:pStyle w:val="19"/>
        <w:numPr>
          <w:ilvl w:val="0"/>
          <w:numId w:val="2"/>
        </w:numPr>
        <w:spacing w:after="60" w:line="340" w:lineRule="auto"/>
      </w:pPr>
      <w:r>
        <w:rPr>
          <w:rFonts w:ascii="宋体" w:hAnsi="宋体" w:eastAsia="宋体" w:cs="宋体"/>
          <w:sz w:val="24"/>
          <w:szCs w:val="24"/>
        </w:rPr>
        <w:t>设计一份屯堡文创产品的消费者调研问卷。</w:t>
      </w:r>
    </w:p>
    <w:p w14:paraId="01F04407">
      <w:pPr>
        <w:pStyle w:val="3"/>
        <w:spacing w:before="300" w:after="200"/>
      </w:pPr>
      <w:bookmarkStart w:id="293" w:name="_Toc322"/>
      <w:r>
        <w:rPr>
          <w:rFonts w:ascii="黑体" w:hAnsi="黑体" w:eastAsia="黑体" w:cs="黑体"/>
          <w:b/>
          <w:bCs/>
          <w:color w:val="000000"/>
          <w:sz w:val="28"/>
          <w:szCs w:val="28"/>
        </w:rPr>
        <w:t>知识卡片：文创产品开发五步法</w:t>
      </w:r>
      <w:bookmarkEnd w:id="29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40E56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65196D0">
            <w:pPr>
              <w:spacing w:after="0"/>
            </w:pPr>
            <w:r>
              <w:rPr>
                <w:rFonts w:ascii="宋体" w:hAnsi="宋体" w:eastAsia="宋体" w:cs="宋体"/>
                <w:b/>
                <w:bCs/>
                <w:color w:val="FFFFFF"/>
                <w:sz w:val="20"/>
                <w:szCs w:val="20"/>
              </w:rPr>
              <w:t>步骤</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53F8B54">
            <w:pPr>
              <w:spacing w:after="0"/>
            </w:pPr>
            <w:r>
              <w:rPr>
                <w:rFonts w:ascii="宋体" w:hAnsi="宋体" w:eastAsia="宋体" w:cs="宋体"/>
                <w:b/>
                <w:bCs/>
                <w:color w:val="FFFFFF"/>
                <w:sz w:val="20"/>
                <w:szCs w:val="20"/>
              </w:rPr>
              <w:t>核心任务</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69D6A37">
            <w:pPr>
              <w:spacing w:after="0"/>
            </w:pPr>
            <w:r>
              <w:rPr>
                <w:rFonts w:ascii="宋体" w:hAnsi="宋体" w:eastAsia="宋体" w:cs="宋体"/>
                <w:b/>
                <w:bCs/>
                <w:color w:val="FFFFFF"/>
                <w:sz w:val="20"/>
                <w:szCs w:val="20"/>
              </w:rPr>
              <w:t>输出成果</w:t>
            </w:r>
          </w:p>
        </w:tc>
      </w:tr>
      <w:tr w14:paraId="2497B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21CE61">
            <w:pPr>
              <w:spacing w:after="0"/>
            </w:pPr>
            <w:r>
              <w:rPr>
                <w:rFonts w:ascii="宋体" w:hAnsi="宋体" w:eastAsia="宋体" w:cs="宋体"/>
                <w:sz w:val="20"/>
                <w:szCs w:val="20"/>
              </w:rPr>
              <w:t>文化梳理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A531B0">
            <w:pPr>
              <w:spacing w:after="0"/>
            </w:pPr>
            <w:r>
              <w:rPr>
                <w:rFonts w:ascii="宋体" w:hAnsi="宋体" w:eastAsia="宋体" w:cs="宋体"/>
                <w:sz w:val="20"/>
                <w:szCs w:val="20"/>
              </w:rPr>
              <w:t>系统整理可用的文化资源</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CB40E89">
            <w:pPr>
              <w:spacing w:after="0"/>
            </w:pPr>
            <w:r>
              <w:rPr>
                <w:rFonts w:ascii="宋体" w:hAnsi="宋体" w:eastAsia="宋体" w:cs="宋体"/>
                <w:sz w:val="20"/>
                <w:szCs w:val="20"/>
              </w:rPr>
              <w:t>文化资源清单</w:t>
            </w:r>
          </w:p>
        </w:tc>
      </w:tr>
      <w:tr w14:paraId="64F79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78029A">
            <w:pPr>
              <w:spacing w:after="0"/>
            </w:pPr>
            <w:r>
              <w:rPr>
                <w:rFonts w:ascii="宋体" w:hAnsi="宋体" w:eastAsia="宋体" w:cs="宋体"/>
                <w:sz w:val="20"/>
                <w:szCs w:val="20"/>
              </w:rPr>
              <w:t>创意生成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CFDB02B">
            <w:pPr>
              <w:spacing w:after="0"/>
            </w:pPr>
            <w:r>
              <w:rPr>
                <w:rFonts w:ascii="宋体" w:hAnsi="宋体" w:eastAsia="宋体" w:cs="宋体"/>
                <w:sz w:val="20"/>
                <w:szCs w:val="20"/>
              </w:rPr>
              <w:t>基于文化资源产生产品创意</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5F73DA">
            <w:pPr>
              <w:spacing w:after="0"/>
            </w:pPr>
            <w:r>
              <w:rPr>
                <w:rFonts w:ascii="宋体" w:hAnsi="宋体" w:eastAsia="宋体" w:cs="宋体"/>
                <w:sz w:val="20"/>
                <w:szCs w:val="20"/>
              </w:rPr>
              <w:t>创意概念方案</w:t>
            </w:r>
          </w:p>
        </w:tc>
      </w:tr>
      <w:tr w14:paraId="2ADF6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CC22FD">
            <w:pPr>
              <w:spacing w:after="0"/>
            </w:pPr>
            <w:r>
              <w:rPr>
                <w:rFonts w:ascii="宋体" w:hAnsi="宋体" w:eastAsia="宋体" w:cs="宋体"/>
                <w:sz w:val="20"/>
                <w:szCs w:val="20"/>
              </w:rPr>
              <w:t>设计深化</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6DB4F2">
            <w:pPr>
              <w:spacing w:after="0"/>
            </w:pPr>
            <w:r>
              <w:rPr>
                <w:rFonts w:ascii="宋体" w:hAnsi="宋体" w:eastAsia="宋体" w:cs="宋体"/>
                <w:sz w:val="20"/>
                <w:szCs w:val="20"/>
              </w:rPr>
              <w:t>将创意转化为具体设计方案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B0CA06">
            <w:pPr>
              <w:spacing w:after="0"/>
            </w:pPr>
            <w:r>
              <w:rPr>
                <w:rFonts w:ascii="宋体" w:hAnsi="宋体" w:eastAsia="宋体" w:cs="宋体"/>
                <w:sz w:val="20"/>
                <w:szCs w:val="20"/>
              </w:rPr>
              <w:t>产品设计图/效果图</w:t>
            </w:r>
          </w:p>
        </w:tc>
      </w:tr>
      <w:tr w14:paraId="644B5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5F649E">
            <w:pPr>
              <w:spacing w:after="0"/>
            </w:pPr>
            <w:r>
              <w:rPr>
                <w:rFonts w:ascii="宋体" w:hAnsi="宋体" w:eastAsia="宋体" w:cs="宋体"/>
                <w:sz w:val="20"/>
                <w:szCs w:val="20"/>
              </w:rPr>
              <w:t>样品测试</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F9E88CE">
            <w:pPr>
              <w:spacing w:after="0"/>
            </w:pPr>
            <w:r>
              <w:rPr>
                <w:rFonts w:ascii="宋体" w:hAnsi="宋体" w:eastAsia="宋体" w:cs="宋体"/>
                <w:sz w:val="20"/>
                <w:szCs w:val="20"/>
              </w:rPr>
              <w:t>制作样品并进行用户测试</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A9B454">
            <w:pPr>
              <w:spacing w:after="0"/>
            </w:pPr>
            <w:r>
              <w:rPr>
                <w:rFonts w:ascii="宋体" w:hAnsi="宋体" w:eastAsia="宋体" w:cs="宋体"/>
                <w:sz w:val="20"/>
                <w:szCs w:val="20"/>
              </w:rPr>
              <w:t>测试报告和修改意见</w:t>
            </w:r>
          </w:p>
        </w:tc>
      </w:tr>
      <w:tr w14:paraId="457F9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68E689">
            <w:pPr>
              <w:spacing w:after="0"/>
            </w:pPr>
            <w:r>
              <w:rPr>
                <w:rFonts w:ascii="宋体" w:hAnsi="宋体" w:eastAsia="宋体" w:cs="宋体"/>
                <w:sz w:val="20"/>
                <w:szCs w:val="20"/>
              </w:rPr>
              <w:t>量产上市</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417712">
            <w:pPr>
              <w:spacing w:after="0"/>
            </w:pPr>
            <w:r>
              <w:rPr>
                <w:rFonts w:ascii="宋体" w:hAnsi="宋体" w:eastAsia="宋体" w:cs="宋体"/>
                <w:sz w:val="20"/>
                <w:szCs w:val="20"/>
              </w:rPr>
              <w:t>批量生产和市场推广</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2C7ACD">
            <w:pPr>
              <w:spacing w:after="0"/>
            </w:pPr>
            <w:r>
              <w:rPr>
                <w:rFonts w:ascii="宋体" w:hAnsi="宋体" w:eastAsia="宋体" w:cs="宋体"/>
                <w:sz w:val="20"/>
                <w:szCs w:val="20"/>
              </w:rPr>
              <w:t>上市产品和销售数据</w:t>
            </w:r>
          </w:p>
        </w:tc>
      </w:tr>
    </w:tbl>
    <w:p w14:paraId="286B7357">
      <w:r>
        <w:br w:type="page"/>
      </w:r>
    </w:p>
    <w:p w14:paraId="766A1BDC">
      <w:pPr>
        <w:pStyle w:val="2"/>
        <w:spacing w:before="400" w:after="200"/>
      </w:pPr>
      <w:bookmarkStart w:id="294" w:name="_Toc14435"/>
      <w:r>
        <w:rPr>
          <w:rFonts w:ascii="黑体" w:hAnsi="黑体" w:eastAsia="黑体" w:cs="黑体"/>
          <w:b/>
          <w:bCs/>
          <w:color w:val="1F4E79"/>
          <w:sz w:val="32"/>
          <w:szCs w:val="32"/>
        </w:rPr>
        <w:t>第 11 章  贵州屯堡文化保护与旅游实践</w:t>
      </w:r>
      <w:bookmarkEnd w:id="294"/>
    </w:p>
    <w:p w14:paraId="767835DF">
      <w:pPr>
        <w:pStyle w:val="3"/>
        <w:spacing w:before="300" w:after="200"/>
      </w:pPr>
      <w:bookmarkStart w:id="295" w:name="_Toc14835"/>
      <w:r>
        <w:rPr>
          <w:rFonts w:ascii="黑体" w:hAnsi="黑体" w:eastAsia="黑体" w:cs="黑体"/>
          <w:b/>
          <w:bCs/>
          <w:color w:val="000000"/>
          <w:sz w:val="28"/>
          <w:szCs w:val="28"/>
        </w:rPr>
        <w:t>学习目标</w:t>
      </w:r>
      <w:bookmarkEnd w:id="295"/>
    </w:p>
    <w:p w14:paraId="4C0FFFF6">
      <w:pPr>
        <w:pStyle w:val="19"/>
        <w:numPr>
          <w:ilvl w:val="0"/>
          <w:numId w:val="1"/>
        </w:numPr>
        <w:spacing w:after="60" w:line="340" w:lineRule="auto"/>
      </w:pPr>
      <w:r>
        <w:rPr>
          <w:rFonts w:ascii="宋体" w:hAnsi="宋体" w:eastAsia="宋体" w:cs="宋体"/>
          <w:sz w:val="24"/>
          <w:szCs w:val="24"/>
        </w:rPr>
        <w:t>了解贵州"四大文化工程"中屯堡文化的战略定位</w:t>
      </w:r>
    </w:p>
    <w:p w14:paraId="78E9A948">
      <w:pPr>
        <w:pStyle w:val="19"/>
        <w:numPr>
          <w:ilvl w:val="0"/>
          <w:numId w:val="1"/>
        </w:numPr>
        <w:spacing w:after="60" w:line="340" w:lineRule="auto"/>
      </w:pPr>
      <w:r>
        <w:rPr>
          <w:rFonts w:ascii="宋体" w:hAnsi="宋体" w:eastAsia="宋体" w:cs="宋体"/>
          <w:sz w:val="24"/>
          <w:szCs w:val="24"/>
        </w:rPr>
        <w:t>掌握安顺屯堡文化国家文物保护利用示范区的建设内容</w:t>
      </w:r>
    </w:p>
    <w:p w14:paraId="6E552412">
      <w:pPr>
        <w:pStyle w:val="19"/>
        <w:numPr>
          <w:ilvl w:val="0"/>
          <w:numId w:val="1"/>
        </w:numPr>
        <w:spacing w:after="60" w:line="340" w:lineRule="auto"/>
      </w:pPr>
      <w:r>
        <w:rPr>
          <w:rFonts w:ascii="宋体" w:hAnsi="宋体" w:eastAsia="宋体" w:cs="宋体"/>
          <w:sz w:val="24"/>
          <w:szCs w:val="24"/>
        </w:rPr>
        <w:t>分析各核心村寨保护与旅游发展的具体实践</w:t>
      </w:r>
    </w:p>
    <w:p w14:paraId="13BE3EEB">
      <w:pPr>
        <w:pStyle w:val="19"/>
        <w:numPr>
          <w:ilvl w:val="0"/>
          <w:numId w:val="1"/>
        </w:numPr>
        <w:spacing w:after="60" w:line="340" w:lineRule="auto"/>
      </w:pPr>
      <w:r>
        <w:rPr>
          <w:rFonts w:ascii="宋体" w:hAnsi="宋体" w:eastAsia="宋体" w:cs="宋体"/>
          <w:sz w:val="24"/>
          <w:szCs w:val="24"/>
        </w:rPr>
        <w:t>了解5G、AI等新技术在屯堡文旅中的应用案例</w:t>
      </w:r>
    </w:p>
    <w:p w14:paraId="70E176D6">
      <w:pPr>
        <w:pStyle w:val="19"/>
        <w:numPr>
          <w:ilvl w:val="0"/>
          <w:numId w:val="1"/>
        </w:numPr>
        <w:spacing w:after="60" w:line="340" w:lineRule="auto"/>
      </w:pPr>
      <w:r>
        <w:rPr>
          <w:rFonts w:ascii="宋体" w:hAnsi="宋体" w:eastAsia="宋体" w:cs="宋体"/>
          <w:sz w:val="24"/>
          <w:szCs w:val="24"/>
        </w:rPr>
        <w:t>能够评价屯堡文化保护与旅游实践的成效与问题</w:t>
      </w:r>
    </w:p>
    <w:p w14:paraId="380A425C">
      <w:pPr>
        <w:pStyle w:val="3"/>
        <w:spacing w:before="300" w:after="200"/>
      </w:pPr>
      <w:bookmarkStart w:id="296" w:name="_Toc2142"/>
      <w:r>
        <w:rPr>
          <w:rFonts w:ascii="黑体" w:hAnsi="黑体" w:eastAsia="黑体" w:cs="黑体"/>
          <w:b/>
          <w:bCs/>
          <w:color w:val="000000"/>
          <w:sz w:val="28"/>
          <w:szCs w:val="28"/>
        </w:rPr>
        <w:t>导入案例：一张世界级文化名片</w:t>
      </w:r>
      <w:bookmarkEnd w:id="296"/>
    </w:p>
    <w:p w14:paraId="20843877">
      <w:pPr>
        <w:spacing w:after="120" w:line="360" w:lineRule="auto"/>
        <w:jc w:val="both"/>
      </w:pPr>
      <w:r>
        <w:rPr>
          <w:rFonts w:ascii="宋体" w:hAnsi="宋体" w:eastAsia="宋体" w:cs="宋体"/>
          <w:sz w:val="24"/>
          <w:szCs w:val="24"/>
        </w:rPr>
        <w:t>2026年6月，贵州省第十四届人大四次会议期间，两份关于屯堡文化的建议引发了广泛关注。贺未泓代表建议"创建贵州安顺屯堡文化国家文物保护利用示范区"，陈艳代表建议"加大屯堡文化挖掘暨非遗工坊建设扶持力度"。</w:t>
      </w:r>
    </w:p>
    <w:p w14:paraId="7F611960">
      <w:pPr>
        <w:spacing w:after="120" w:line="360" w:lineRule="auto"/>
        <w:jc w:val="both"/>
      </w:pPr>
      <w:r>
        <w:rPr>
          <w:rFonts w:ascii="宋体" w:hAnsi="宋体" w:eastAsia="宋体" w:cs="宋体"/>
          <w:sz w:val="24"/>
          <w:szCs w:val="24"/>
        </w:rPr>
        <w:t>安顺市人民政府在会办意见中，系统阐述了屯堡文化保护的"安顺方案"——以"固态保护"夯实文化根基，以"活态传承"激活文化基因，以"业态融合"释放文化价值。这份方案背后，是安顺市多年来在屯堡文化保护与旅游活化领域的持续探索。</w:t>
      </w:r>
    </w:p>
    <w:p w14:paraId="4AA195B5">
      <w:pPr>
        <w:spacing w:after="120" w:line="360" w:lineRule="auto"/>
        <w:jc w:val="both"/>
      </w:pPr>
      <w:r>
        <w:rPr>
          <w:rFonts w:ascii="宋体" w:hAnsi="宋体" w:eastAsia="宋体" w:cs="宋体"/>
          <w:sz w:val="24"/>
          <w:szCs w:val="24"/>
        </w:rPr>
        <w:t>从2001年天龙屯堡开始收门票，到2026年推动创建国家文物保护利用示范区，屯堡文化走过了一条从"养在深闺人未识"到"世界级文化名片"的蝶变之路。本章将系统梳理这条路上的关键实践。</w:t>
      </w:r>
    </w:p>
    <w:p w14:paraId="55D16D2B">
      <w:pPr>
        <w:pStyle w:val="3"/>
        <w:spacing w:before="300" w:after="200"/>
      </w:pPr>
      <w:bookmarkStart w:id="297" w:name="_Toc3065"/>
      <w:r>
        <w:rPr>
          <w:rFonts w:ascii="黑体" w:hAnsi="黑体" w:eastAsia="黑体" w:cs="黑体"/>
          <w:b/>
          <w:bCs/>
          <w:color w:val="000000"/>
          <w:sz w:val="28"/>
          <w:szCs w:val="28"/>
        </w:rPr>
        <w:t>11.1 政策框架与战略定位</w:t>
      </w:r>
      <w:bookmarkEnd w:id="297"/>
    </w:p>
    <w:p w14:paraId="226CA86A">
      <w:pPr>
        <w:pStyle w:val="4"/>
        <w:spacing w:before="300" w:after="200"/>
      </w:pPr>
      <w:bookmarkStart w:id="298" w:name="_Toc15364"/>
      <w:r>
        <w:rPr>
          <w:rFonts w:ascii="黑体" w:hAnsi="黑体" w:eastAsia="黑体" w:cs="黑体"/>
          <w:b/>
          <w:bCs/>
          <w:color w:val="000000"/>
          <w:sz w:val="26"/>
          <w:szCs w:val="26"/>
        </w:rPr>
        <w:t>11.1.1 贵州"四大文化工程"中的屯堡文化</w:t>
      </w:r>
      <w:bookmarkEnd w:id="298"/>
    </w:p>
    <w:p w14:paraId="1E28EB57">
      <w:pPr>
        <w:spacing w:after="120" w:line="360" w:lineRule="auto"/>
        <w:jc w:val="both"/>
      </w:pPr>
      <w:r>
        <w:rPr>
          <w:rFonts w:ascii="宋体" w:hAnsi="宋体" w:eastAsia="宋体" w:cs="宋体"/>
          <w:sz w:val="24"/>
          <w:szCs w:val="24"/>
        </w:rPr>
        <w:t>2023年，贵州省委明确提出实施"四大文化工程"：红色文化重点建设、阳明文化转化运用、民族文化传承弘扬、屯堡文化等历史文化研究推广。这是屯堡文化首次被提升到省级文化战略的核心层面。</w:t>
      </w:r>
    </w:p>
    <w:p w14:paraId="682EBC04">
      <w:pPr>
        <w:spacing w:after="120" w:line="360" w:lineRule="auto"/>
        <w:jc w:val="both"/>
      </w:pPr>
      <w:r>
        <w:rPr>
          <w:rFonts w:ascii="宋体" w:hAnsi="宋体" w:eastAsia="宋体" w:cs="宋体"/>
          <w:sz w:val="24"/>
          <w:szCs w:val="24"/>
        </w:rPr>
        <w:t>在"四大文化工程"框架下，屯堡文化的战略定位是：贵州历史文化的代表性标识、中华优秀传统文化传承发展的重要载体、文旅深度融合发展的核心资源。这一战略定位为屯堡文化保护与旅游活化提供了顶层政策支撑。</w:t>
      </w:r>
    </w:p>
    <w:p w14:paraId="348786D3">
      <w:pPr>
        <w:pStyle w:val="4"/>
        <w:spacing w:before="300" w:after="200"/>
      </w:pPr>
      <w:bookmarkStart w:id="299" w:name="_Toc9464"/>
      <w:r>
        <w:rPr>
          <w:rFonts w:ascii="黑体" w:hAnsi="黑体" w:eastAsia="黑体" w:cs="黑体"/>
          <w:b/>
          <w:bCs/>
          <w:color w:val="000000"/>
          <w:sz w:val="26"/>
          <w:szCs w:val="26"/>
        </w:rPr>
        <w:t>11.1.2 国家文物保护利用示范区</w:t>
      </w:r>
      <w:bookmarkEnd w:id="299"/>
    </w:p>
    <w:p w14:paraId="2194CAE4">
      <w:pPr>
        <w:spacing w:after="120" w:line="360" w:lineRule="auto"/>
        <w:jc w:val="both"/>
      </w:pPr>
      <w:r>
        <w:rPr>
          <w:rFonts w:ascii="宋体" w:hAnsi="宋体" w:eastAsia="宋体" w:cs="宋体"/>
          <w:sz w:val="24"/>
          <w:szCs w:val="24"/>
        </w:rPr>
        <w:t>2025-2026年，安顺市积极推进"贵州安顺屯堡文化国家文物保护利用示范区"创建工作。示范区的核心目标是：探索文化遗产"固态保护"与"活态传承"相结合的新模式，为全国同类文化遗产保护提供"安顺方案"。</w:t>
      </w:r>
    </w:p>
    <w:p w14:paraId="4E16E19F">
      <w:pPr>
        <w:spacing w:after="120" w:line="360" w:lineRule="auto"/>
        <w:jc w:val="both"/>
      </w:pPr>
      <w:r>
        <w:rPr>
          <w:rFonts w:ascii="宋体" w:hAnsi="宋体" w:eastAsia="宋体" w:cs="宋体"/>
          <w:sz w:val="24"/>
          <w:szCs w:val="24"/>
        </w:rPr>
        <w:t>示范区的主要任务包括：</w:t>
      </w:r>
    </w:p>
    <w:p w14:paraId="7ADF17C7">
      <w:pPr>
        <w:spacing w:after="120" w:line="360" w:lineRule="auto"/>
        <w:jc w:val="both"/>
      </w:pPr>
      <w:r>
        <w:rPr>
          <w:rFonts w:ascii="宋体" w:hAnsi="宋体" w:eastAsia="宋体" w:cs="宋体"/>
          <w:b/>
          <w:bCs/>
          <w:sz w:val="24"/>
          <w:szCs w:val="24"/>
        </w:rPr>
        <w:t>文物本体保护。</w:t>
      </w:r>
      <w:r>
        <w:rPr>
          <w:rFonts w:ascii="宋体" w:hAnsi="宋体" w:eastAsia="宋体" w:cs="宋体"/>
          <w:sz w:val="24"/>
          <w:szCs w:val="24"/>
        </w:rPr>
        <w:t xml:space="preserve"> 对天龙屯堡、本寨、云山屯、鲍家屯等核心村寨的文物建筑进行系统性修缮和保护。</w:t>
      </w:r>
    </w:p>
    <w:p w14:paraId="260D50D0">
      <w:pPr>
        <w:spacing w:after="120" w:line="360" w:lineRule="auto"/>
        <w:jc w:val="both"/>
      </w:pPr>
      <w:r>
        <w:rPr>
          <w:rFonts w:ascii="宋体" w:hAnsi="宋体" w:eastAsia="宋体" w:cs="宋体"/>
          <w:b/>
          <w:bCs/>
          <w:sz w:val="24"/>
          <w:szCs w:val="24"/>
        </w:rPr>
        <w:t>非遗活态传承。</w:t>
      </w:r>
      <w:r>
        <w:rPr>
          <w:rFonts w:ascii="宋体" w:hAnsi="宋体" w:eastAsia="宋体" w:cs="宋体"/>
          <w:sz w:val="24"/>
          <w:szCs w:val="24"/>
        </w:rPr>
        <w:t xml:space="preserve"> 建设地戏传习所、服饰制作工坊、面具雕刻培训基地，培育新一代传承人。</w:t>
      </w:r>
    </w:p>
    <w:p w14:paraId="17B7BD4D">
      <w:pPr>
        <w:spacing w:after="120" w:line="360" w:lineRule="auto"/>
        <w:jc w:val="both"/>
      </w:pPr>
      <w:r>
        <w:rPr>
          <w:rFonts w:ascii="宋体" w:hAnsi="宋体" w:eastAsia="宋体" w:cs="宋体"/>
          <w:b/>
          <w:bCs/>
          <w:sz w:val="24"/>
          <w:szCs w:val="24"/>
        </w:rPr>
        <w:t>数字化建设。</w:t>
      </w:r>
      <w:r>
        <w:rPr>
          <w:rFonts w:ascii="宋体" w:hAnsi="宋体" w:eastAsia="宋体" w:cs="宋体"/>
          <w:sz w:val="24"/>
          <w:szCs w:val="24"/>
        </w:rPr>
        <w:t xml:space="preserve"> 建立屯堡文化大数据平台和数字孪生系统，实现文化遗产的数字化保护和管理。</w:t>
      </w:r>
    </w:p>
    <w:p w14:paraId="49367357">
      <w:pPr>
        <w:spacing w:after="120" w:line="360" w:lineRule="auto"/>
        <w:jc w:val="both"/>
      </w:pPr>
      <w:r>
        <w:rPr>
          <w:rFonts w:ascii="宋体" w:hAnsi="宋体" w:eastAsia="宋体" w:cs="宋体"/>
          <w:b/>
          <w:bCs/>
          <w:sz w:val="24"/>
          <w:szCs w:val="24"/>
        </w:rPr>
        <w:t>文旅融合发展。</w:t>
      </w:r>
      <w:r>
        <w:rPr>
          <w:rFonts w:ascii="宋体" w:hAnsi="宋体" w:eastAsia="宋体" w:cs="宋体"/>
          <w:sz w:val="24"/>
          <w:szCs w:val="24"/>
        </w:rPr>
        <w:t xml:space="preserve"> 打造"屯堡旅居"品牌，推动从观光游向深度体验游转型。</w:t>
      </w:r>
    </w:p>
    <w:p w14:paraId="7EEC3B2F">
      <w:pPr>
        <w:spacing w:after="120" w:line="360" w:lineRule="auto"/>
        <w:jc w:val="both"/>
      </w:pPr>
      <w:r>
        <w:rPr>
          <w:rFonts w:ascii="宋体" w:hAnsi="宋体" w:eastAsia="宋体" w:cs="宋体"/>
          <w:b/>
          <w:bCs/>
          <w:sz w:val="24"/>
          <w:szCs w:val="24"/>
        </w:rPr>
        <w:t>社区参与机制。</w:t>
      </w:r>
      <w:r>
        <w:rPr>
          <w:rFonts w:ascii="宋体" w:hAnsi="宋体" w:eastAsia="宋体" w:cs="宋体"/>
          <w:sz w:val="24"/>
          <w:szCs w:val="24"/>
        </w:rPr>
        <w:t xml:space="preserve"> 建立文物保护与社区发展的利益联结机制，确保社区从保护中受益。</w:t>
      </w:r>
    </w:p>
    <w:p w14:paraId="22F4E90A">
      <w:pPr>
        <w:pStyle w:val="4"/>
        <w:spacing w:before="300" w:after="200"/>
      </w:pPr>
      <w:bookmarkStart w:id="300" w:name="_Toc16850"/>
      <w:r>
        <w:rPr>
          <w:rFonts w:ascii="黑体" w:hAnsi="黑体" w:eastAsia="黑体" w:cs="黑体"/>
          <w:b/>
          <w:bCs/>
          <w:color w:val="000000"/>
          <w:sz w:val="26"/>
          <w:szCs w:val="26"/>
        </w:rPr>
        <w:t>11.1.3 地方政策支持</w:t>
      </w:r>
      <w:bookmarkEnd w:id="300"/>
    </w:p>
    <w:p w14:paraId="5FF3791E">
      <w:pPr>
        <w:spacing w:after="120" w:line="360" w:lineRule="auto"/>
        <w:jc w:val="both"/>
      </w:pPr>
      <w:r>
        <w:rPr>
          <w:rFonts w:ascii="宋体" w:hAnsi="宋体" w:eastAsia="宋体" w:cs="宋体"/>
          <w:sz w:val="24"/>
          <w:szCs w:val="24"/>
        </w:rPr>
        <w:t>安顺市出台了一系列支持屯堡文化保护与旅游发展的政策措施：</w:t>
      </w:r>
    </w:p>
    <w:p w14:paraId="23FE9F4A">
      <w:pPr>
        <w:spacing w:after="120" w:line="360" w:lineRule="auto"/>
        <w:jc w:val="both"/>
      </w:pPr>
      <w:r>
        <w:rPr>
          <w:rFonts w:ascii="宋体" w:hAnsi="宋体" w:eastAsia="宋体" w:cs="宋体"/>
          <w:b/>
          <w:bCs/>
          <w:sz w:val="24"/>
          <w:szCs w:val="24"/>
        </w:rPr>
        <w:t>资金支持。</w:t>
      </w:r>
      <w:r>
        <w:rPr>
          <w:rFonts w:ascii="宋体" w:hAnsi="宋体" w:eastAsia="宋体" w:cs="宋体"/>
          <w:sz w:val="24"/>
          <w:szCs w:val="24"/>
        </w:rPr>
        <w:t xml:space="preserve"> 设立屯堡文化保护专项资金，对文物修缮、非遗传承、数字化建设等给予财政支持。</w:t>
      </w:r>
    </w:p>
    <w:p w14:paraId="178EBEDD">
      <w:pPr>
        <w:spacing w:after="120" w:line="360" w:lineRule="auto"/>
        <w:jc w:val="both"/>
      </w:pPr>
      <w:r>
        <w:rPr>
          <w:rFonts w:ascii="宋体" w:hAnsi="宋体" w:eastAsia="宋体" w:cs="宋体"/>
          <w:b/>
          <w:bCs/>
          <w:sz w:val="24"/>
          <w:szCs w:val="24"/>
        </w:rPr>
        <w:t>用地支持。</w:t>
      </w:r>
      <w:r>
        <w:rPr>
          <w:rFonts w:ascii="宋体" w:hAnsi="宋体" w:eastAsia="宋体" w:cs="宋体"/>
          <w:sz w:val="24"/>
          <w:szCs w:val="24"/>
        </w:rPr>
        <w:t xml:space="preserve"> 在国土空间规划中优先保障屯堡文化旅游配套设施用地。</w:t>
      </w:r>
    </w:p>
    <w:p w14:paraId="320AE40A">
      <w:pPr>
        <w:spacing w:after="120" w:line="360" w:lineRule="auto"/>
        <w:jc w:val="both"/>
      </w:pPr>
      <w:r>
        <w:rPr>
          <w:rFonts w:ascii="宋体" w:hAnsi="宋体" w:eastAsia="宋体" w:cs="宋体"/>
          <w:b/>
          <w:bCs/>
          <w:sz w:val="24"/>
          <w:szCs w:val="24"/>
        </w:rPr>
        <w:t>人才支持。</w:t>
      </w:r>
      <w:r>
        <w:rPr>
          <w:rFonts w:ascii="宋体" w:hAnsi="宋体" w:eastAsia="宋体" w:cs="宋体"/>
          <w:sz w:val="24"/>
          <w:szCs w:val="24"/>
        </w:rPr>
        <w:t xml:space="preserve"> 与安顺学院、贵州大学等高校合作，培养文化遗产保护与旅游管理专业人才。</w:t>
      </w:r>
    </w:p>
    <w:p w14:paraId="68A6C469">
      <w:pPr>
        <w:spacing w:after="120" w:line="360" w:lineRule="auto"/>
        <w:jc w:val="both"/>
      </w:pPr>
      <w:r>
        <w:rPr>
          <w:rFonts w:ascii="宋体" w:hAnsi="宋体" w:eastAsia="宋体" w:cs="宋体"/>
          <w:b/>
          <w:bCs/>
          <w:sz w:val="24"/>
          <w:szCs w:val="24"/>
        </w:rPr>
        <w:t>宣传推广。</w:t>
      </w:r>
      <w:r>
        <w:rPr>
          <w:rFonts w:ascii="宋体" w:hAnsi="宋体" w:eastAsia="宋体" w:cs="宋体"/>
          <w:sz w:val="24"/>
          <w:szCs w:val="24"/>
        </w:rPr>
        <w:t xml:space="preserve"> 将屯堡文化纳入安顺城市形象宣传的核心内容，通过节庆活动、媒体传播、对外交流等渠道提升品牌影响力。</w:t>
      </w:r>
    </w:p>
    <w:p w14:paraId="10F1EAC5">
      <w:pPr>
        <w:pStyle w:val="3"/>
        <w:spacing w:before="300" w:after="200"/>
      </w:pPr>
      <w:bookmarkStart w:id="301" w:name="_Toc23384"/>
      <w:r>
        <w:rPr>
          <w:rFonts w:ascii="黑体" w:hAnsi="黑体" w:eastAsia="黑体" w:cs="黑体"/>
          <w:b/>
          <w:bCs/>
          <w:color w:val="000000"/>
          <w:sz w:val="28"/>
          <w:szCs w:val="28"/>
        </w:rPr>
        <w:t>11.2 核心村寨的保护与实践</w:t>
      </w:r>
      <w:bookmarkEnd w:id="301"/>
    </w:p>
    <w:p w14:paraId="3466D57F">
      <w:pPr>
        <w:pStyle w:val="4"/>
        <w:spacing w:before="300" w:after="200"/>
      </w:pPr>
      <w:bookmarkStart w:id="302" w:name="_Toc6393"/>
      <w:r>
        <w:rPr>
          <w:rFonts w:ascii="黑体" w:hAnsi="黑体" w:eastAsia="黑体" w:cs="黑体"/>
          <w:b/>
          <w:bCs/>
          <w:color w:val="000000"/>
          <w:sz w:val="26"/>
          <w:szCs w:val="26"/>
        </w:rPr>
        <w:t>11.2.1 天龙屯堡：旅游开发的先行者与转型者</w:t>
      </w:r>
      <w:bookmarkEnd w:id="302"/>
    </w:p>
    <w:p w14:paraId="37B5989B">
      <w:pPr>
        <w:spacing w:after="120" w:line="360" w:lineRule="auto"/>
        <w:jc w:val="both"/>
      </w:pPr>
      <w:r>
        <w:rPr>
          <w:rFonts w:ascii="宋体" w:hAnsi="宋体" w:eastAsia="宋体" w:cs="宋体"/>
          <w:sz w:val="24"/>
          <w:szCs w:val="24"/>
        </w:rPr>
        <w:t>天龙屯堡是屯堡文化旅游开发的起点，也是矛盾最集中、经验最丰富的案例。</w:t>
      </w:r>
    </w:p>
    <w:p w14:paraId="137870DA">
      <w:pPr>
        <w:spacing w:after="120" w:line="360" w:lineRule="auto"/>
        <w:jc w:val="both"/>
      </w:pPr>
      <w:r>
        <w:rPr>
          <w:rFonts w:ascii="宋体" w:hAnsi="宋体" w:eastAsia="宋体" w:cs="宋体"/>
          <w:b/>
          <w:bCs/>
          <w:sz w:val="24"/>
          <w:szCs w:val="24"/>
        </w:rPr>
        <w:t>开发历程。</w:t>
      </w:r>
      <w:r>
        <w:rPr>
          <w:rFonts w:ascii="宋体" w:hAnsi="宋体" w:eastAsia="宋体" w:cs="宋体"/>
          <w:sz w:val="24"/>
          <w:szCs w:val="24"/>
        </w:rPr>
        <w:t xml:space="preserve"> 2001年，天龙屯堡引入旅游公司，开始商业化运营。通过门票收入、地戏表演、餐饮住宿等业态，天龙屯堡从一个普通的传统村落转变为年接待游客超100万人次的4A级景区。</w:t>
      </w:r>
    </w:p>
    <w:p w14:paraId="1392C844">
      <w:pPr>
        <w:spacing w:after="120" w:line="360" w:lineRule="auto"/>
        <w:jc w:val="both"/>
      </w:pPr>
      <w:r>
        <w:rPr>
          <w:rFonts w:ascii="宋体" w:hAnsi="宋体" w:eastAsia="宋体" w:cs="宋体"/>
          <w:b/>
          <w:bCs/>
          <w:sz w:val="24"/>
          <w:szCs w:val="24"/>
        </w:rPr>
        <w:t>问题与反思。</w:t>
      </w:r>
      <w:r>
        <w:rPr>
          <w:rFonts w:ascii="宋体" w:hAnsi="宋体" w:eastAsia="宋体" w:cs="宋体"/>
          <w:sz w:val="24"/>
          <w:szCs w:val="24"/>
        </w:rPr>
        <w:t xml:space="preserve"> 过度商业化导致文化原真性受损、社区生活空间被挤压、旅游收益分配不均。2010年代后期，这些问题引发了学术界和媒体的广泛关注和批评。</w:t>
      </w:r>
    </w:p>
    <w:p w14:paraId="2C5762AA">
      <w:pPr>
        <w:spacing w:after="120" w:line="360" w:lineRule="auto"/>
        <w:jc w:val="both"/>
      </w:pPr>
      <w:r>
        <w:rPr>
          <w:rFonts w:ascii="宋体" w:hAnsi="宋体" w:eastAsia="宋体" w:cs="宋体"/>
          <w:b/>
          <w:bCs/>
          <w:sz w:val="24"/>
          <w:szCs w:val="24"/>
        </w:rPr>
        <w:t>转型实践。</w:t>
      </w:r>
      <w:r>
        <w:rPr>
          <w:rFonts w:ascii="宋体" w:hAnsi="宋体" w:eastAsia="宋体" w:cs="宋体"/>
          <w:sz w:val="24"/>
          <w:szCs w:val="24"/>
        </w:rPr>
        <w:t xml:space="preserve"> 2022年起，天龙屯堡启动"提质减量"转型：拆除一批与屯堡风貌不协调的商铺，恢复部分巷道的生活功能；将地戏表演从"纯商业演出"回归到"文化展示+互动体验"；引入"黔影新生"等文创团队，丰富旅游产品供给；建设天龙屯堡数字孪生系统，提升智慧化管理水平。</w:t>
      </w:r>
    </w:p>
    <w:p w14:paraId="2E9C23FC">
      <w:pPr>
        <w:pStyle w:val="4"/>
        <w:spacing w:before="300" w:after="200"/>
      </w:pPr>
      <w:bookmarkStart w:id="303" w:name="_Toc29224"/>
      <w:r>
        <w:rPr>
          <w:rFonts w:ascii="黑体" w:hAnsi="黑体" w:eastAsia="黑体" w:cs="黑体"/>
          <w:b/>
          <w:bCs/>
          <w:color w:val="000000"/>
          <w:sz w:val="26"/>
          <w:szCs w:val="26"/>
        </w:rPr>
        <w:t>11.2.2 本寨：以建筑保护为核心的"活态博物馆"</w:t>
      </w:r>
      <w:bookmarkEnd w:id="303"/>
    </w:p>
    <w:p w14:paraId="21ED8E00">
      <w:pPr>
        <w:spacing w:after="120" w:line="360" w:lineRule="auto"/>
        <w:jc w:val="both"/>
      </w:pPr>
      <w:r>
        <w:rPr>
          <w:rFonts w:ascii="宋体" w:hAnsi="宋体" w:eastAsia="宋体" w:cs="宋体"/>
          <w:sz w:val="24"/>
          <w:szCs w:val="24"/>
        </w:rPr>
        <w:t>本寨以保存最完好的屯堡民居建筑群著称。本寨的保护实践以"建筑保护+活态利用"为核心。</w:t>
      </w:r>
    </w:p>
    <w:p w14:paraId="3909E970">
      <w:pPr>
        <w:spacing w:after="120" w:line="360" w:lineRule="auto"/>
        <w:jc w:val="both"/>
      </w:pPr>
      <w:r>
        <w:rPr>
          <w:rFonts w:ascii="宋体" w:hAnsi="宋体" w:eastAsia="宋体" w:cs="宋体"/>
          <w:b/>
          <w:bCs/>
          <w:sz w:val="24"/>
          <w:szCs w:val="24"/>
        </w:rPr>
        <w:t>建筑保护。</w:t>
      </w:r>
      <w:r>
        <w:rPr>
          <w:rFonts w:ascii="宋体" w:hAnsi="宋体" w:eastAsia="宋体" w:cs="宋体"/>
          <w:sz w:val="24"/>
          <w:szCs w:val="24"/>
        </w:rPr>
        <w:t xml:space="preserve"> 2001年，本寨古建筑群被列为全国重点文物保护单位。此后，各级财政累计投入数千万元，对杨家老宅、王家大院等核心建筑进行了系统性修缮。修缮遵循"最小干预"原则，尽可能保留原有材料和工艺。</w:t>
      </w:r>
    </w:p>
    <w:p w14:paraId="7D8EA662">
      <w:pPr>
        <w:spacing w:after="120" w:line="360" w:lineRule="auto"/>
        <w:jc w:val="both"/>
      </w:pPr>
      <w:r>
        <w:rPr>
          <w:rFonts w:ascii="宋体" w:hAnsi="宋体" w:eastAsia="宋体" w:cs="宋体"/>
          <w:b/>
          <w:bCs/>
          <w:sz w:val="24"/>
          <w:szCs w:val="24"/>
        </w:rPr>
        <w:t>活态利用。</w:t>
      </w:r>
      <w:r>
        <w:rPr>
          <w:rFonts w:ascii="宋体" w:hAnsi="宋体" w:eastAsia="宋体" w:cs="宋体"/>
          <w:sz w:val="24"/>
          <w:szCs w:val="24"/>
        </w:rPr>
        <w:t xml:space="preserve"> 修缮后的部分老宅被改造为精品民宿、文化书院和手工艺工坊。游客可以入住修缮后的老宅，体验"屯堡人的一天"。这种利用方式既为古建筑找到了新的使用功能，也为村寨带来了经济收益。</w:t>
      </w:r>
    </w:p>
    <w:p w14:paraId="764D2BE3">
      <w:pPr>
        <w:spacing w:after="120" w:line="360" w:lineRule="auto"/>
        <w:jc w:val="both"/>
      </w:pPr>
      <w:r>
        <w:rPr>
          <w:rFonts w:ascii="宋体" w:hAnsi="宋体" w:eastAsia="宋体" w:cs="宋体"/>
          <w:b/>
          <w:bCs/>
          <w:sz w:val="24"/>
          <w:szCs w:val="24"/>
        </w:rPr>
        <w:t>研学基地。</w:t>
      </w:r>
      <w:r>
        <w:rPr>
          <w:rFonts w:ascii="宋体" w:hAnsi="宋体" w:eastAsia="宋体" w:cs="宋体"/>
          <w:sz w:val="24"/>
          <w:szCs w:val="24"/>
        </w:rPr>
        <w:t xml:space="preserve"> 本寨与安顺学院合作建设了"屯堡文化研学基地"，开设古建筑测绘、地戏体验、屯堡饮食制作等研学课程，年接待研学团队超过200批次。</w:t>
      </w:r>
    </w:p>
    <w:p w14:paraId="409D4ADF">
      <w:pPr>
        <w:pStyle w:val="4"/>
        <w:spacing w:before="300" w:after="200"/>
      </w:pPr>
      <w:bookmarkStart w:id="304" w:name="_Toc24149"/>
      <w:r>
        <w:rPr>
          <w:rFonts w:ascii="黑体" w:hAnsi="黑体" w:eastAsia="黑体" w:cs="黑体"/>
          <w:b/>
          <w:bCs/>
          <w:color w:val="000000"/>
          <w:sz w:val="26"/>
          <w:szCs w:val="26"/>
        </w:rPr>
        <w:t>11.2.3 云山屯：山居文化与生态旅游</w:t>
      </w:r>
      <w:bookmarkEnd w:id="304"/>
    </w:p>
    <w:p w14:paraId="2DC69183">
      <w:pPr>
        <w:spacing w:after="120" w:line="360" w:lineRule="auto"/>
        <w:jc w:val="both"/>
      </w:pPr>
      <w:r>
        <w:rPr>
          <w:rFonts w:ascii="宋体" w:hAnsi="宋体" w:eastAsia="宋体" w:cs="宋体"/>
          <w:sz w:val="24"/>
          <w:szCs w:val="24"/>
        </w:rPr>
        <w:t>云山屯依山而建，自然环境和军事遗址是其最大特色。</w:t>
      </w:r>
    </w:p>
    <w:p w14:paraId="27EF5DEC">
      <w:pPr>
        <w:spacing w:after="120" w:line="360" w:lineRule="auto"/>
        <w:jc w:val="both"/>
      </w:pPr>
      <w:r>
        <w:rPr>
          <w:rFonts w:ascii="宋体" w:hAnsi="宋体" w:eastAsia="宋体" w:cs="宋体"/>
          <w:b/>
          <w:bCs/>
          <w:sz w:val="24"/>
          <w:szCs w:val="24"/>
        </w:rPr>
        <w:t>保护重点。</w:t>
      </w:r>
      <w:r>
        <w:rPr>
          <w:rFonts w:ascii="宋体" w:hAnsi="宋体" w:eastAsia="宋体" w:cs="宋体"/>
          <w:sz w:val="24"/>
          <w:szCs w:val="24"/>
        </w:rPr>
        <w:t xml:space="preserve"> 云山屯的保护重点是古驿道、寨墙寨门和古建筑群的整体环境。由于地势险要、交通不便，云山屯的开发强度远低于天龙屯堡，古建筑和自然环境保存状况较好。</w:t>
      </w:r>
    </w:p>
    <w:p w14:paraId="4E31D665">
      <w:pPr>
        <w:spacing w:after="120" w:line="360" w:lineRule="auto"/>
        <w:jc w:val="both"/>
      </w:pPr>
      <w:r>
        <w:rPr>
          <w:rFonts w:ascii="宋体" w:hAnsi="宋体" w:eastAsia="宋体" w:cs="宋体"/>
          <w:b/>
          <w:bCs/>
          <w:sz w:val="24"/>
          <w:szCs w:val="24"/>
        </w:rPr>
        <w:t>旅游定位。</w:t>
      </w:r>
      <w:r>
        <w:rPr>
          <w:rFonts w:ascii="宋体" w:hAnsi="宋体" w:eastAsia="宋体" w:cs="宋体"/>
          <w:sz w:val="24"/>
          <w:szCs w:val="24"/>
        </w:rPr>
        <w:t xml:space="preserve"> 云山屯的旅游定位是"山居文化体验地"——徒步古驿道、探访军事遗址、登云鹫寺观日出、在老宅里品茶读书。游客量不大（年均约30万人次），但停留时间长（人均1-2天），消费层次高。</w:t>
      </w:r>
    </w:p>
    <w:p w14:paraId="54534B44">
      <w:pPr>
        <w:spacing w:after="120" w:line="360" w:lineRule="auto"/>
        <w:jc w:val="both"/>
      </w:pPr>
      <w:r>
        <w:rPr>
          <w:rFonts w:ascii="宋体" w:hAnsi="宋体" w:eastAsia="宋体" w:cs="宋体"/>
          <w:b/>
          <w:bCs/>
          <w:sz w:val="24"/>
          <w:szCs w:val="24"/>
        </w:rPr>
        <w:t>数字化探索。</w:t>
      </w:r>
      <w:r>
        <w:rPr>
          <w:rFonts w:ascii="宋体" w:hAnsi="宋体" w:eastAsia="宋体" w:cs="宋体"/>
          <w:sz w:val="24"/>
          <w:szCs w:val="24"/>
        </w:rPr>
        <w:t xml:space="preserve"> 云山屯是屯堡数字化建设的先行者。贵州大学文化遗产数字化团队在云山屯完成了三维激光扫描和数字孪生原型系统建设，为村寨的保护管理和虚拟展示提供了技术支撑。</w:t>
      </w:r>
    </w:p>
    <w:p w14:paraId="4DA9CA99">
      <w:pPr>
        <w:pStyle w:val="4"/>
        <w:spacing w:before="300" w:after="200"/>
      </w:pPr>
      <w:bookmarkStart w:id="305" w:name="_Toc26837"/>
      <w:r>
        <w:rPr>
          <w:rFonts w:ascii="黑体" w:hAnsi="黑体" w:eastAsia="黑体" w:cs="黑体"/>
          <w:b/>
          <w:bCs/>
          <w:color w:val="000000"/>
          <w:sz w:val="26"/>
          <w:szCs w:val="26"/>
        </w:rPr>
        <w:t>11.2.4 鲍家屯：农业文化遗产的活化利用</w:t>
      </w:r>
      <w:bookmarkEnd w:id="305"/>
    </w:p>
    <w:p w14:paraId="0ECF182D">
      <w:pPr>
        <w:spacing w:after="120" w:line="360" w:lineRule="auto"/>
        <w:jc w:val="both"/>
      </w:pPr>
      <w:r>
        <w:rPr>
          <w:rFonts w:ascii="宋体" w:hAnsi="宋体" w:eastAsia="宋体" w:cs="宋体"/>
          <w:sz w:val="24"/>
          <w:szCs w:val="24"/>
        </w:rPr>
        <w:t>鲍家屯的保护实践以古水利系统为核心，探索农业文化遗产的活化利用路径。</w:t>
      </w:r>
    </w:p>
    <w:p w14:paraId="34D9AAAB">
      <w:pPr>
        <w:spacing w:after="120" w:line="360" w:lineRule="auto"/>
        <w:jc w:val="both"/>
      </w:pPr>
      <w:r>
        <w:rPr>
          <w:rFonts w:ascii="宋体" w:hAnsi="宋体" w:eastAsia="宋体" w:cs="宋体"/>
          <w:b/>
          <w:bCs/>
          <w:sz w:val="24"/>
          <w:szCs w:val="24"/>
        </w:rPr>
        <w:t>水利遗产保护。</w:t>
      </w:r>
      <w:r>
        <w:rPr>
          <w:rFonts w:ascii="宋体" w:hAnsi="宋体" w:eastAsia="宋体" w:cs="宋体"/>
          <w:sz w:val="24"/>
          <w:szCs w:val="24"/>
        </w:rPr>
        <w:t xml:space="preserve"> 鲍家屯古水利系统自明代建成以来持续运行六百余年。近年来，水利部门投入资金对拦河坝、引水渠进行了加固和修缮，确保水利系统继续发挥灌溉功能。</w:t>
      </w:r>
    </w:p>
    <w:p w14:paraId="669817E2">
      <w:pPr>
        <w:spacing w:after="120" w:line="360" w:lineRule="auto"/>
        <w:jc w:val="both"/>
      </w:pPr>
      <w:r>
        <w:rPr>
          <w:rFonts w:ascii="宋体" w:hAnsi="宋体" w:eastAsia="宋体" w:cs="宋体"/>
          <w:b/>
          <w:bCs/>
          <w:sz w:val="24"/>
          <w:szCs w:val="24"/>
        </w:rPr>
        <w:t>研学旅游。</w:t>
      </w:r>
      <w:r>
        <w:rPr>
          <w:rFonts w:ascii="宋体" w:hAnsi="宋体" w:eastAsia="宋体" w:cs="宋体"/>
          <w:sz w:val="24"/>
          <w:szCs w:val="24"/>
        </w:rPr>
        <w:t xml:space="preserve"> 鲍家屯依托古水利系统和稻作文化，发展研学旅游。学生在水利专家的带领下考察古水利系统，做水流实验，理解"道法自然"的水利智慧；在田间体验插秧、收割、打谷等传统农事活动。</w:t>
      </w:r>
    </w:p>
    <w:p w14:paraId="706289BC">
      <w:pPr>
        <w:spacing w:after="120" w:line="360" w:lineRule="auto"/>
        <w:jc w:val="both"/>
      </w:pPr>
      <w:r>
        <w:rPr>
          <w:rFonts w:ascii="宋体" w:hAnsi="宋体" w:eastAsia="宋体" w:cs="宋体"/>
          <w:b/>
          <w:bCs/>
          <w:sz w:val="24"/>
          <w:szCs w:val="24"/>
        </w:rPr>
        <w:t>生态农业。</w:t>
      </w:r>
      <w:r>
        <w:rPr>
          <w:rFonts w:ascii="宋体" w:hAnsi="宋体" w:eastAsia="宋体" w:cs="宋体"/>
          <w:sz w:val="24"/>
          <w:szCs w:val="24"/>
        </w:rPr>
        <w:t xml:space="preserve"> 鲍家屯注册了"鲍屯"商标，发展生态大米、屯堡腊肉等特色农产品，通过旅游渠道和电商平台销售，实现了"农文旅"融合发展。</w:t>
      </w:r>
    </w:p>
    <w:p w14:paraId="5EDAE0BA">
      <w:pPr>
        <w:pStyle w:val="4"/>
        <w:spacing w:before="300" w:after="200"/>
      </w:pPr>
      <w:bookmarkStart w:id="306" w:name="_Toc31147"/>
      <w:r>
        <w:rPr>
          <w:rFonts w:ascii="黑体" w:hAnsi="黑体" w:eastAsia="黑体" w:cs="黑体"/>
          <w:b/>
          <w:bCs/>
          <w:color w:val="000000"/>
          <w:sz w:val="26"/>
          <w:szCs w:val="26"/>
        </w:rPr>
        <w:t>11.2.5 旧州古镇：多元文化融合的典范</w:t>
      </w:r>
      <w:bookmarkEnd w:id="306"/>
    </w:p>
    <w:p w14:paraId="2403FF1D">
      <w:pPr>
        <w:spacing w:after="120" w:line="360" w:lineRule="auto"/>
        <w:jc w:val="both"/>
      </w:pPr>
      <w:r>
        <w:rPr>
          <w:rFonts w:ascii="宋体" w:hAnsi="宋体" w:eastAsia="宋体" w:cs="宋体"/>
          <w:sz w:val="24"/>
          <w:szCs w:val="24"/>
        </w:rPr>
        <w:t>旧州古镇是屯堡文化与苗族、布依族等少数民族文化交融的典型区域。</w:t>
      </w:r>
    </w:p>
    <w:p w14:paraId="4DB4CEA5">
      <w:pPr>
        <w:spacing w:after="120" w:line="360" w:lineRule="auto"/>
        <w:jc w:val="both"/>
      </w:pPr>
      <w:r>
        <w:rPr>
          <w:rFonts w:ascii="宋体" w:hAnsi="宋体" w:eastAsia="宋体" w:cs="宋体"/>
          <w:b/>
          <w:bCs/>
          <w:sz w:val="24"/>
          <w:szCs w:val="24"/>
        </w:rPr>
        <w:t>文化保护。</w:t>
      </w:r>
      <w:r>
        <w:rPr>
          <w:rFonts w:ascii="宋体" w:hAnsi="宋体" w:eastAsia="宋体" w:cs="宋体"/>
          <w:sz w:val="24"/>
          <w:szCs w:val="24"/>
        </w:rPr>
        <w:t xml:space="preserve"> 旧州的保护重点是多元文化共存的历史格局——屯堡建筑与苗族吊脚楼并立、汪公庙与苗族跳花场相邻。保护规划强调"不改变多元文化共存的空间格局"。</w:t>
      </w:r>
    </w:p>
    <w:p w14:paraId="4E60103F">
      <w:pPr>
        <w:spacing w:after="120" w:line="360" w:lineRule="auto"/>
        <w:jc w:val="both"/>
      </w:pPr>
      <w:r>
        <w:rPr>
          <w:rFonts w:ascii="宋体" w:hAnsi="宋体" w:eastAsia="宋体" w:cs="宋体"/>
          <w:b/>
          <w:bCs/>
          <w:sz w:val="24"/>
          <w:szCs w:val="24"/>
        </w:rPr>
        <w:t>节庆旅游。</w:t>
      </w:r>
      <w:r>
        <w:rPr>
          <w:rFonts w:ascii="宋体" w:hAnsi="宋体" w:eastAsia="宋体" w:cs="宋体"/>
          <w:sz w:val="24"/>
          <w:szCs w:val="24"/>
        </w:rPr>
        <w:t xml:space="preserve"> 旧州利用"跳花灯""苗族跳花节"等多元民俗活动，打造"月月有节庆、季季有活动"的旅游日历，吸引游客体验不同民族的文化风情。</w:t>
      </w:r>
    </w:p>
    <w:p w14:paraId="4CBD0D66">
      <w:pPr>
        <w:pStyle w:val="3"/>
        <w:spacing w:before="300" w:after="200"/>
      </w:pPr>
      <w:bookmarkStart w:id="307" w:name="_Toc7638"/>
      <w:r>
        <w:rPr>
          <w:rFonts w:ascii="黑体" w:hAnsi="黑体" w:eastAsia="黑体" w:cs="黑体"/>
          <w:b/>
          <w:bCs/>
          <w:color w:val="000000"/>
          <w:sz w:val="28"/>
          <w:szCs w:val="28"/>
        </w:rPr>
        <w:t>11.3 新技术在屯堡文旅中的应用</w:t>
      </w:r>
      <w:bookmarkEnd w:id="307"/>
    </w:p>
    <w:p w14:paraId="4EA7518B">
      <w:pPr>
        <w:pStyle w:val="4"/>
        <w:spacing w:before="300" w:after="200"/>
      </w:pPr>
      <w:bookmarkStart w:id="308" w:name="_Toc13887"/>
      <w:r>
        <w:rPr>
          <w:rFonts w:ascii="黑体" w:hAnsi="黑体" w:eastAsia="黑体" w:cs="黑体"/>
          <w:b/>
          <w:bCs/>
          <w:color w:val="000000"/>
          <w:sz w:val="26"/>
          <w:szCs w:val="26"/>
        </w:rPr>
        <w:t>11.3.1 5G+AI赋能</w:t>
      </w:r>
      <w:bookmarkEnd w:id="308"/>
    </w:p>
    <w:p w14:paraId="2B08880F">
      <w:pPr>
        <w:spacing w:after="120" w:line="360" w:lineRule="auto"/>
        <w:jc w:val="both"/>
      </w:pPr>
      <w:r>
        <w:rPr>
          <w:rFonts w:ascii="宋体" w:hAnsi="宋体" w:eastAsia="宋体" w:cs="宋体"/>
          <w:sz w:val="24"/>
          <w:szCs w:val="24"/>
        </w:rPr>
        <w:t>2026年，中国移动贵州公司在屯堡区域部署了5G网络，为数字文旅应用提供了高速率、低时延的网络基础。</w:t>
      </w:r>
    </w:p>
    <w:p w14:paraId="0DEA3899">
      <w:pPr>
        <w:spacing w:after="120" w:line="360" w:lineRule="auto"/>
        <w:jc w:val="both"/>
      </w:pPr>
      <w:r>
        <w:rPr>
          <w:rFonts w:ascii="宋体" w:hAnsi="宋体" w:eastAsia="宋体" w:cs="宋体"/>
          <w:b/>
          <w:bCs/>
          <w:sz w:val="24"/>
          <w:szCs w:val="24"/>
        </w:rPr>
        <w:t>5G+VR直播。</w:t>
      </w:r>
      <w:r>
        <w:rPr>
          <w:rFonts w:ascii="宋体" w:hAnsi="宋体" w:eastAsia="宋体" w:cs="宋体"/>
          <w:sz w:val="24"/>
          <w:szCs w:val="24"/>
        </w:rPr>
        <w:t xml:space="preserve"> 通过5G网络实时传输地戏表演的VR直播画面，让远程用户获得"身临其境"的观看体验。</w:t>
      </w:r>
    </w:p>
    <w:p w14:paraId="7534CD81">
      <w:pPr>
        <w:spacing w:after="120" w:line="360" w:lineRule="auto"/>
        <w:jc w:val="both"/>
      </w:pPr>
      <w:r>
        <w:rPr>
          <w:rFonts w:ascii="宋体" w:hAnsi="宋体" w:eastAsia="宋体" w:cs="宋体"/>
          <w:b/>
          <w:bCs/>
          <w:sz w:val="24"/>
          <w:szCs w:val="24"/>
        </w:rPr>
        <w:t>AI智能导览。</w:t>
      </w:r>
      <w:r>
        <w:rPr>
          <w:rFonts w:ascii="宋体" w:hAnsi="宋体" w:eastAsia="宋体" w:cs="宋体"/>
          <w:sz w:val="24"/>
          <w:szCs w:val="24"/>
        </w:rPr>
        <w:t xml:space="preserve"> 基于屯堡文化知识图谱的AI智能导览系统，可以回答游客关于屯堡历史、建筑、非遗的各种问题，提供个性化的游览建议。</w:t>
      </w:r>
    </w:p>
    <w:p w14:paraId="3DA29372">
      <w:pPr>
        <w:spacing w:after="120" w:line="360" w:lineRule="auto"/>
        <w:jc w:val="both"/>
      </w:pPr>
      <w:r>
        <w:rPr>
          <w:rFonts w:ascii="宋体" w:hAnsi="宋体" w:eastAsia="宋体" w:cs="宋体"/>
          <w:b/>
          <w:bCs/>
          <w:sz w:val="24"/>
          <w:szCs w:val="24"/>
        </w:rPr>
        <w:t>AI文创设计。</w:t>
      </w:r>
      <w:r>
        <w:rPr>
          <w:rFonts w:ascii="宋体" w:hAnsi="宋体" w:eastAsia="宋体" w:cs="宋体"/>
          <w:sz w:val="24"/>
          <w:szCs w:val="24"/>
        </w:rPr>
        <w:t xml:space="preserve"> 如前所述的"黔影新生"团队，利用AI技术将地戏面具转化为现代风格的数字形象和文创产品。</w:t>
      </w:r>
    </w:p>
    <w:p w14:paraId="24ADEAE2">
      <w:pPr>
        <w:pStyle w:val="4"/>
        <w:spacing w:before="300" w:after="200"/>
      </w:pPr>
      <w:bookmarkStart w:id="309" w:name="_Toc892"/>
      <w:r>
        <w:rPr>
          <w:rFonts w:ascii="黑体" w:hAnsi="黑体" w:eastAsia="黑体" w:cs="黑体"/>
          <w:b/>
          <w:bCs/>
          <w:color w:val="000000"/>
          <w:sz w:val="26"/>
          <w:szCs w:val="26"/>
        </w:rPr>
        <w:t>11.3.2 数字孪生与智慧管理</w:t>
      </w:r>
      <w:bookmarkEnd w:id="309"/>
    </w:p>
    <w:p w14:paraId="11315A61">
      <w:pPr>
        <w:spacing w:after="120" w:line="360" w:lineRule="auto"/>
        <w:jc w:val="both"/>
      </w:pPr>
      <w:r>
        <w:rPr>
          <w:rFonts w:ascii="宋体" w:hAnsi="宋体" w:eastAsia="宋体" w:cs="宋体"/>
          <w:sz w:val="24"/>
          <w:szCs w:val="24"/>
        </w:rPr>
        <w:t>屯堡数字孪生系统不仅是保护工具，也是管理工具。通过整合票务系统、视频监控、环境传感器、游客手机信令等数据，数字孪生平台可以实时展示各景区的游客分布、拥堵状况、环境指标，支持管理者的实时调度和决策。</w:t>
      </w:r>
    </w:p>
    <w:p w14:paraId="62C49F64">
      <w:pPr>
        <w:pStyle w:val="4"/>
        <w:spacing w:before="300" w:after="200"/>
      </w:pPr>
      <w:bookmarkStart w:id="310" w:name="_Toc10439"/>
      <w:r>
        <w:rPr>
          <w:rFonts w:ascii="黑体" w:hAnsi="黑体" w:eastAsia="黑体" w:cs="黑体"/>
          <w:b/>
          <w:bCs/>
          <w:color w:val="000000"/>
          <w:sz w:val="26"/>
          <w:szCs w:val="26"/>
        </w:rPr>
        <w:t>11.3.3 新媒体传播</w:t>
      </w:r>
      <w:bookmarkEnd w:id="310"/>
    </w:p>
    <w:p w14:paraId="5E049EA8">
      <w:pPr>
        <w:spacing w:after="120" w:line="360" w:lineRule="auto"/>
        <w:jc w:val="both"/>
      </w:pPr>
      <w:r>
        <w:rPr>
          <w:rFonts w:ascii="宋体" w:hAnsi="宋体" w:eastAsia="宋体" w:cs="宋体"/>
          <w:sz w:val="24"/>
          <w:szCs w:val="24"/>
        </w:rPr>
        <w:t>抖音、小红书、B站等新媒体平台已成为屯堡文化旅游的重要传播渠道。2025-2026年，抖音上"屯堡"相关话题播放量突破10亿次，"天龙屯堡""安顺地戏""凤阳汉装"等子话题均有千万级播放量。</w:t>
      </w:r>
    </w:p>
    <w:p w14:paraId="57C1A7DD">
      <w:pPr>
        <w:spacing w:after="120" w:line="360" w:lineRule="auto"/>
        <w:jc w:val="both"/>
      </w:pPr>
      <w:r>
        <w:rPr>
          <w:rFonts w:ascii="宋体" w:hAnsi="宋体" w:eastAsia="宋体" w:cs="宋体"/>
          <w:sz w:val="24"/>
          <w:szCs w:val="24"/>
        </w:rPr>
        <w:t>新媒体传播的成功策略包括：邀请旅游博主和传统文化博主到屯堡拍摄体验视频；鼓励游客拍摄和分享"穿汉装游屯堡"的打卡视频；与摄影机构合作推出"屯堡旅拍"服务；利用短视频平台进行地戏表演和手工艺制作的直播。</w:t>
      </w:r>
    </w:p>
    <w:p w14:paraId="3F5C920B">
      <w:pPr>
        <w:pStyle w:val="3"/>
        <w:spacing w:before="300" w:after="200"/>
      </w:pPr>
      <w:bookmarkStart w:id="311" w:name="_Toc24715"/>
      <w:r>
        <w:rPr>
          <w:rFonts w:ascii="黑体" w:hAnsi="黑体" w:eastAsia="黑体" w:cs="黑体"/>
          <w:b/>
          <w:bCs/>
          <w:color w:val="000000"/>
          <w:sz w:val="28"/>
          <w:szCs w:val="28"/>
        </w:rPr>
        <w:t>11.4 非遗工坊与传承人培育</w:t>
      </w:r>
      <w:bookmarkEnd w:id="311"/>
    </w:p>
    <w:p w14:paraId="4BAC0224">
      <w:pPr>
        <w:pStyle w:val="4"/>
        <w:spacing w:before="300" w:after="200"/>
      </w:pPr>
      <w:bookmarkStart w:id="312" w:name="_Toc5699"/>
      <w:r>
        <w:rPr>
          <w:rFonts w:ascii="黑体" w:hAnsi="黑体" w:eastAsia="黑体" w:cs="黑体"/>
          <w:b/>
          <w:bCs/>
          <w:color w:val="000000"/>
          <w:sz w:val="26"/>
          <w:szCs w:val="26"/>
        </w:rPr>
        <w:t>11.4.1 非遗工坊建设</w:t>
      </w:r>
      <w:bookmarkEnd w:id="312"/>
    </w:p>
    <w:p w14:paraId="34F3435A">
      <w:pPr>
        <w:spacing w:after="120" w:line="360" w:lineRule="auto"/>
        <w:jc w:val="both"/>
      </w:pPr>
      <w:r>
        <w:rPr>
          <w:rFonts w:ascii="宋体" w:hAnsi="宋体" w:eastAsia="宋体" w:cs="宋体"/>
          <w:sz w:val="24"/>
          <w:szCs w:val="24"/>
        </w:rPr>
        <w:t>2025-2026年，安顺市在省文化和旅游厅支持下，加大了非遗工坊建设力度。</w:t>
      </w:r>
    </w:p>
    <w:p w14:paraId="45705579">
      <w:pPr>
        <w:spacing w:after="120" w:line="360" w:lineRule="auto"/>
        <w:jc w:val="both"/>
      </w:pPr>
      <w:r>
        <w:rPr>
          <w:rFonts w:ascii="宋体" w:hAnsi="宋体" w:eastAsia="宋体" w:cs="宋体"/>
          <w:b/>
          <w:bCs/>
          <w:sz w:val="24"/>
          <w:szCs w:val="24"/>
        </w:rPr>
        <w:t>地戏传习所。</w:t>
      </w:r>
      <w:r>
        <w:rPr>
          <w:rFonts w:ascii="宋体" w:hAnsi="宋体" w:eastAsia="宋体" w:cs="宋体"/>
          <w:sz w:val="24"/>
          <w:szCs w:val="24"/>
        </w:rPr>
        <w:t xml:space="preserve"> 在天龙屯堡、本寨、九溪等村寨建设了地戏传习所，配备排练场地、道具库房和多媒体教学设备。传习所不仅面向社区内部传承，也向游客开放体验课程。</w:t>
      </w:r>
    </w:p>
    <w:p w14:paraId="5C505FD2">
      <w:pPr>
        <w:spacing w:after="120" w:line="360" w:lineRule="auto"/>
        <w:jc w:val="both"/>
      </w:pPr>
      <w:r>
        <w:rPr>
          <w:rFonts w:ascii="宋体" w:hAnsi="宋体" w:eastAsia="宋体" w:cs="宋体"/>
          <w:b/>
          <w:bCs/>
          <w:sz w:val="24"/>
          <w:szCs w:val="24"/>
        </w:rPr>
        <w:t>面具雕刻工坊。</w:t>
      </w:r>
      <w:r>
        <w:rPr>
          <w:rFonts w:ascii="宋体" w:hAnsi="宋体" w:eastAsia="宋体" w:cs="宋体"/>
          <w:sz w:val="24"/>
          <w:szCs w:val="24"/>
        </w:rPr>
        <w:t xml:space="preserve"> 支持地戏面具雕刻传承人建设工坊，配备木料储存、雕刻加工、上色髹漆等功能区域。工坊既是生产空间，也是展示和体验空间。</w:t>
      </w:r>
    </w:p>
    <w:p w14:paraId="7FD75CFB">
      <w:pPr>
        <w:spacing w:after="120" w:line="360" w:lineRule="auto"/>
        <w:jc w:val="both"/>
      </w:pPr>
      <w:r>
        <w:rPr>
          <w:rFonts w:ascii="宋体" w:hAnsi="宋体" w:eastAsia="宋体" w:cs="宋体"/>
          <w:b/>
          <w:bCs/>
          <w:sz w:val="24"/>
          <w:szCs w:val="24"/>
        </w:rPr>
        <w:t>服饰制作工坊。</w:t>
      </w:r>
      <w:r>
        <w:rPr>
          <w:rFonts w:ascii="宋体" w:hAnsi="宋体" w:eastAsia="宋体" w:cs="宋体"/>
          <w:sz w:val="24"/>
          <w:szCs w:val="24"/>
        </w:rPr>
        <w:t xml:space="preserve"> 支持屯堡服饰制作传承人建设工坊，开展刺绣、裁剪、缝制等技艺传承和生产。</w:t>
      </w:r>
    </w:p>
    <w:p w14:paraId="43DA108E">
      <w:pPr>
        <w:pStyle w:val="4"/>
        <w:spacing w:before="300" w:after="200"/>
      </w:pPr>
      <w:bookmarkStart w:id="313" w:name="_Toc8770"/>
      <w:r>
        <w:rPr>
          <w:rFonts w:ascii="黑体" w:hAnsi="黑体" w:eastAsia="黑体" w:cs="黑体"/>
          <w:b/>
          <w:bCs/>
          <w:color w:val="000000"/>
          <w:sz w:val="26"/>
          <w:szCs w:val="26"/>
        </w:rPr>
        <w:t>11.4.2 传承人培育</w:t>
      </w:r>
      <w:bookmarkEnd w:id="313"/>
    </w:p>
    <w:p w14:paraId="598B57A5">
      <w:pPr>
        <w:spacing w:after="120" w:line="360" w:lineRule="auto"/>
        <w:jc w:val="both"/>
      </w:pPr>
      <w:r>
        <w:rPr>
          <w:rFonts w:ascii="宋体" w:hAnsi="宋体" w:eastAsia="宋体" w:cs="宋体"/>
          <w:sz w:val="24"/>
          <w:szCs w:val="24"/>
        </w:rPr>
        <w:t>非遗传承的核心是"人"。安顺市建立了多层次的传承人培育体系：认定各级非遗代表性传承人，给予传承补贴和荣誉表彰；实施"师带徒"计划，鼓励传承人收徒传艺；与安顺学院合作开设非遗选修课和传承人研修班；举办地戏大赛、刺绣比赛等活动，激发年轻人的参与热情。</w:t>
      </w:r>
    </w:p>
    <w:p w14:paraId="3E7411B1">
      <w:pPr>
        <w:pStyle w:val="4"/>
        <w:spacing w:before="300" w:after="200"/>
      </w:pPr>
      <w:bookmarkStart w:id="314" w:name="_Toc27201"/>
      <w:r>
        <w:rPr>
          <w:rFonts w:ascii="黑体" w:hAnsi="黑体" w:eastAsia="黑体" w:cs="黑体"/>
          <w:b/>
          <w:bCs/>
          <w:color w:val="000000"/>
          <w:sz w:val="26"/>
          <w:szCs w:val="26"/>
        </w:rPr>
        <w:t>11.4.3 非遗进校园</w:t>
      </w:r>
      <w:bookmarkEnd w:id="314"/>
    </w:p>
    <w:p w14:paraId="05F47778">
      <w:pPr>
        <w:spacing w:after="120" w:line="360" w:lineRule="auto"/>
        <w:jc w:val="both"/>
      </w:pPr>
      <w:r>
        <w:rPr>
          <w:rFonts w:ascii="宋体" w:hAnsi="宋体" w:eastAsia="宋体" w:cs="宋体"/>
          <w:sz w:val="24"/>
          <w:szCs w:val="24"/>
        </w:rPr>
        <w:t>"非遗进校园"是培育未来传承人和文化消费者的重要途径。安顺市在部分中小学开设了地戏和屯堡文化校本课程，安顺学院数字文旅专业将屯堡文化纳入了核心课程体系。这些教育实践为屯堡文化的长远传承奠定了基础。</w:t>
      </w:r>
    </w:p>
    <w:p w14:paraId="2FE80D38">
      <w:pPr>
        <w:pStyle w:val="3"/>
        <w:spacing w:before="300" w:after="200"/>
      </w:pPr>
      <w:bookmarkStart w:id="315" w:name="_Toc13308"/>
      <w:r>
        <w:rPr>
          <w:rFonts w:ascii="黑体" w:hAnsi="黑体" w:eastAsia="黑体" w:cs="黑体"/>
          <w:b/>
          <w:bCs/>
          <w:color w:val="000000"/>
          <w:sz w:val="28"/>
          <w:szCs w:val="28"/>
        </w:rPr>
        <w:t>11.5 实践成效与挑战</w:t>
      </w:r>
      <w:bookmarkEnd w:id="315"/>
    </w:p>
    <w:p w14:paraId="27E28F62">
      <w:pPr>
        <w:pStyle w:val="4"/>
        <w:spacing w:before="300" w:after="200"/>
      </w:pPr>
      <w:bookmarkStart w:id="316" w:name="_Toc150"/>
      <w:r>
        <w:rPr>
          <w:rFonts w:ascii="黑体" w:hAnsi="黑体" w:eastAsia="黑体" w:cs="黑体"/>
          <w:b/>
          <w:bCs/>
          <w:color w:val="000000"/>
          <w:sz w:val="26"/>
          <w:szCs w:val="26"/>
        </w:rPr>
        <w:t>11.5.1 主要成效</w:t>
      </w:r>
      <w:bookmarkEnd w:id="316"/>
    </w:p>
    <w:p w14:paraId="3DD15322">
      <w:pPr>
        <w:spacing w:after="120" w:line="360" w:lineRule="auto"/>
        <w:jc w:val="both"/>
      </w:pPr>
      <w:r>
        <w:rPr>
          <w:rFonts w:ascii="宋体" w:hAnsi="宋体" w:eastAsia="宋体" w:cs="宋体"/>
          <w:b/>
          <w:bCs/>
          <w:sz w:val="24"/>
          <w:szCs w:val="24"/>
        </w:rPr>
        <w:t>文化品牌初步形成。</w:t>
      </w:r>
      <w:r>
        <w:rPr>
          <w:rFonts w:ascii="宋体" w:hAnsi="宋体" w:eastAsia="宋体" w:cs="宋体"/>
          <w:sz w:val="24"/>
          <w:szCs w:val="24"/>
        </w:rPr>
        <w:t xml:space="preserve"> "屯堡文化"已成为贵州文化旅游的一张名片，天龙屯堡入选国家4A级景区，云峰屯堡获评中国历史文化名村。</w:t>
      </w:r>
    </w:p>
    <w:p w14:paraId="2415B636">
      <w:pPr>
        <w:spacing w:after="120" w:line="360" w:lineRule="auto"/>
        <w:jc w:val="both"/>
      </w:pPr>
      <w:r>
        <w:rPr>
          <w:rFonts w:ascii="宋体" w:hAnsi="宋体" w:eastAsia="宋体" w:cs="宋体"/>
          <w:b/>
          <w:bCs/>
          <w:sz w:val="24"/>
          <w:szCs w:val="24"/>
        </w:rPr>
        <w:t>经济效益显著。</w:t>
      </w:r>
      <w:r>
        <w:rPr>
          <w:rFonts w:ascii="宋体" w:hAnsi="宋体" w:eastAsia="宋体" w:cs="宋体"/>
          <w:sz w:val="24"/>
          <w:szCs w:val="24"/>
        </w:rPr>
        <w:t xml:space="preserve"> 屯堡文化旅游年综合收入超过10亿元，带动周边数万群众就业增收。</w:t>
      </w:r>
    </w:p>
    <w:p w14:paraId="473315D6">
      <w:pPr>
        <w:spacing w:after="120" w:line="360" w:lineRule="auto"/>
        <w:jc w:val="both"/>
      </w:pPr>
      <w:r>
        <w:rPr>
          <w:rFonts w:ascii="宋体" w:hAnsi="宋体" w:eastAsia="宋体" w:cs="宋体"/>
          <w:b/>
          <w:bCs/>
          <w:sz w:val="24"/>
          <w:szCs w:val="24"/>
        </w:rPr>
        <w:t>文化自信增强。</w:t>
      </w:r>
      <w:r>
        <w:rPr>
          <w:rFonts w:ascii="宋体" w:hAnsi="宋体" w:eastAsia="宋体" w:cs="宋体"/>
          <w:sz w:val="24"/>
          <w:szCs w:val="24"/>
        </w:rPr>
        <w:t xml:space="preserve"> 屯堡人从"文化的被动保护者"逐渐转变为"文化的主人翁"，文化自豪感和传承意愿明显提升。</w:t>
      </w:r>
    </w:p>
    <w:p w14:paraId="06E22E6A">
      <w:pPr>
        <w:spacing w:after="120" w:line="360" w:lineRule="auto"/>
        <w:jc w:val="both"/>
      </w:pPr>
      <w:r>
        <w:rPr>
          <w:rFonts w:ascii="宋体" w:hAnsi="宋体" w:eastAsia="宋体" w:cs="宋体"/>
          <w:b/>
          <w:bCs/>
          <w:sz w:val="24"/>
          <w:szCs w:val="24"/>
        </w:rPr>
        <w:t>数字化基础奠定。</w:t>
      </w:r>
      <w:r>
        <w:rPr>
          <w:rFonts w:ascii="宋体" w:hAnsi="宋体" w:eastAsia="宋体" w:cs="宋体"/>
          <w:sz w:val="24"/>
          <w:szCs w:val="24"/>
        </w:rPr>
        <w:t xml:space="preserve"> 云山屯数字孪生、屯堡文化知识图谱等项目的实施，为屯堡文化的长期保存和活化利用提供了数字基础。</w:t>
      </w:r>
    </w:p>
    <w:p w14:paraId="5CA6502D">
      <w:pPr>
        <w:pStyle w:val="4"/>
        <w:spacing w:before="300" w:after="200"/>
      </w:pPr>
      <w:bookmarkStart w:id="317" w:name="_Toc12439"/>
      <w:r>
        <w:rPr>
          <w:rFonts w:ascii="黑体" w:hAnsi="黑体" w:eastAsia="黑体" w:cs="黑体"/>
          <w:b/>
          <w:bCs/>
          <w:color w:val="000000"/>
          <w:sz w:val="26"/>
          <w:szCs w:val="26"/>
        </w:rPr>
        <w:t>11.5.2 面临挑战</w:t>
      </w:r>
      <w:bookmarkEnd w:id="317"/>
    </w:p>
    <w:p w14:paraId="70C02DE5">
      <w:pPr>
        <w:spacing w:after="120" w:line="360" w:lineRule="auto"/>
        <w:jc w:val="both"/>
      </w:pPr>
      <w:r>
        <w:rPr>
          <w:rFonts w:ascii="宋体" w:hAnsi="宋体" w:eastAsia="宋体" w:cs="宋体"/>
          <w:b/>
          <w:bCs/>
          <w:sz w:val="24"/>
          <w:szCs w:val="24"/>
        </w:rPr>
        <w:t>商业化与文化原真性的平衡。</w:t>
      </w:r>
      <w:r>
        <w:rPr>
          <w:rFonts w:ascii="宋体" w:hAnsi="宋体" w:eastAsia="宋体" w:cs="宋体"/>
          <w:sz w:val="24"/>
          <w:szCs w:val="24"/>
        </w:rPr>
        <w:t xml:space="preserve"> 如何让旅游开发成为文化保护的动力而非威胁，仍是一个需要持续探索的课题。</w:t>
      </w:r>
    </w:p>
    <w:p w14:paraId="570DC1CA">
      <w:pPr>
        <w:spacing w:after="120" w:line="360" w:lineRule="auto"/>
        <w:jc w:val="both"/>
      </w:pPr>
      <w:r>
        <w:rPr>
          <w:rFonts w:ascii="宋体" w:hAnsi="宋体" w:eastAsia="宋体" w:cs="宋体"/>
          <w:b/>
          <w:bCs/>
          <w:sz w:val="24"/>
          <w:szCs w:val="24"/>
        </w:rPr>
        <w:t>传承人断层。</w:t>
      </w:r>
      <w:r>
        <w:rPr>
          <w:rFonts w:ascii="宋体" w:hAnsi="宋体" w:eastAsia="宋体" w:cs="宋体"/>
          <w:sz w:val="24"/>
          <w:szCs w:val="24"/>
        </w:rPr>
        <w:t xml:space="preserve"> 部分传统技艺（如面具雕刻、丝头系腰编织）的传承人年事已高，年轻一代传承意愿不足。</w:t>
      </w:r>
    </w:p>
    <w:p w14:paraId="7622CED7">
      <w:pPr>
        <w:spacing w:after="120" w:line="360" w:lineRule="auto"/>
        <w:jc w:val="both"/>
      </w:pPr>
      <w:r>
        <w:rPr>
          <w:rFonts w:ascii="宋体" w:hAnsi="宋体" w:eastAsia="宋体" w:cs="宋体"/>
          <w:b/>
          <w:bCs/>
          <w:sz w:val="24"/>
          <w:szCs w:val="24"/>
        </w:rPr>
        <w:t>村寨空心化。</w:t>
      </w:r>
      <w:r>
        <w:rPr>
          <w:rFonts w:ascii="宋体" w:hAnsi="宋体" w:eastAsia="宋体" w:cs="宋体"/>
          <w:sz w:val="24"/>
          <w:szCs w:val="24"/>
        </w:rPr>
        <w:t xml:space="preserve"> 部分屯堡村寨仍面临年轻人外出务工、老宅空置的问题，"活态传承"缺乏"人"的支撑。</w:t>
      </w:r>
    </w:p>
    <w:p w14:paraId="36DEB6B9">
      <w:pPr>
        <w:spacing w:after="120" w:line="360" w:lineRule="auto"/>
        <w:jc w:val="both"/>
      </w:pPr>
      <w:r>
        <w:rPr>
          <w:rFonts w:ascii="宋体" w:hAnsi="宋体" w:eastAsia="宋体" w:cs="宋体"/>
          <w:b/>
          <w:bCs/>
          <w:sz w:val="24"/>
          <w:szCs w:val="24"/>
        </w:rPr>
        <w:t>同质化竞争。</w:t>
      </w:r>
      <w:r>
        <w:rPr>
          <w:rFonts w:ascii="宋体" w:hAnsi="宋体" w:eastAsia="宋体" w:cs="宋体"/>
          <w:sz w:val="24"/>
          <w:szCs w:val="24"/>
        </w:rPr>
        <w:t xml:space="preserve"> 部分村寨旅游产品雷同，缺乏差异化特色和核心竞争力。</w:t>
      </w:r>
    </w:p>
    <w:p w14:paraId="2C9BF6AF">
      <w:pPr>
        <w:spacing w:after="120" w:line="360" w:lineRule="auto"/>
        <w:jc w:val="both"/>
      </w:pPr>
      <w:r>
        <w:rPr>
          <w:rFonts w:ascii="宋体" w:hAnsi="宋体" w:eastAsia="宋体" w:cs="宋体"/>
          <w:b/>
          <w:bCs/>
          <w:sz w:val="24"/>
          <w:szCs w:val="24"/>
        </w:rPr>
        <w:t>气候变化影响。</w:t>
      </w:r>
      <w:r>
        <w:rPr>
          <w:rFonts w:ascii="宋体" w:hAnsi="宋体" w:eastAsia="宋体" w:cs="宋体"/>
          <w:sz w:val="24"/>
          <w:szCs w:val="24"/>
        </w:rPr>
        <w:t xml:space="preserve"> 极端天气事件增多，对屯堡古建筑（特别是石木结构建筑）的保护带来了新的挑战。</w:t>
      </w:r>
    </w:p>
    <w:p w14:paraId="410B2045">
      <w:pPr>
        <w:pStyle w:val="3"/>
        <w:spacing w:before="300" w:after="200"/>
      </w:pPr>
      <w:bookmarkStart w:id="318" w:name="_Toc26008"/>
      <w:r>
        <w:rPr>
          <w:rFonts w:ascii="黑体" w:hAnsi="黑体" w:eastAsia="黑体" w:cs="黑体"/>
          <w:b/>
          <w:bCs/>
          <w:color w:val="000000"/>
          <w:sz w:val="28"/>
          <w:szCs w:val="28"/>
        </w:rPr>
        <w:t>本章小结</w:t>
      </w:r>
      <w:bookmarkEnd w:id="318"/>
    </w:p>
    <w:p w14:paraId="3AC5E2D2">
      <w:pPr>
        <w:spacing w:after="120" w:line="360" w:lineRule="auto"/>
        <w:jc w:val="both"/>
      </w:pPr>
      <w:r>
        <w:rPr>
          <w:rFonts w:ascii="宋体" w:hAnsi="宋体" w:eastAsia="宋体" w:cs="宋体"/>
          <w:sz w:val="24"/>
          <w:szCs w:val="24"/>
        </w:rPr>
        <w:t>贵州屯堡文化保护与旅游实践在政策框架、村寨实践、技术应用和非遗传承等多个维度取得了显著进展。贵州"四大文化工程"为屯堡文化提供了顶层战略支撑，国家文物保护利用示范区创建推动了系统化保护。天龙屯堡的转型、本寨的活态利用、云山屯的数字化探索、鲍家屯的农文旅融合和旧州的多元文化展示，构成了差异化发展的实践图谱。5G、AI、数字孪生等新技术为保护和管理赋能，非遗工坊和传承人培育夯实了文化根基。商业化与原真性、传承人断层、村寨空心化等挑战仍需持续关注和应对。</w:t>
      </w:r>
    </w:p>
    <w:p w14:paraId="4CC3B7FF">
      <w:pPr>
        <w:pStyle w:val="3"/>
        <w:spacing w:before="300" w:after="200"/>
      </w:pPr>
      <w:bookmarkStart w:id="319" w:name="_Toc9274"/>
      <w:r>
        <w:rPr>
          <w:rFonts w:ascii="黑体" w:hAnsi="黑体" w:eastAsia="黑体" w:cs="黑体"/>
          <w:b/>
          <w:bCs/>
          <w:color w:val="000000"/>
          <w:sz w:val="28"/>
          <w:szCs w:val="28"/>
        </w:rPr>
        <w:t>思考与练习</w:t>
      </w:r>
      <w:bookmarkEnd w:id="319"/>
    </w:p>
    <w:p w14:paraId="67E270F3">
      <w:pPr>
        <w:pStyle w:val="19"/>
        <w:numPr>
          <w:ilvl w:val="0"/>
          <w:numId w:val="2"/>
        </w:numPr>
        <w:spacing w:after="60" w:line="340" w:lineRule="auto"/>
      </w:pPr>
      <w:r>
        <w:rPr>
          <w:rFonts w:ascii="宋体" w:hAnsi="宋体" w:eastAsia="宋体" w:cs="宋体"/>
          <w:sz w:val="24"/>
          <w:szCs w:val="24"/>
        </w:rPr>
        <w:t>比较天龙屯堡和鲍家屯两种不同的旅游活化模式，分析各自的适用条件。</w:t>
      </w:r>
    </w:p>
    <w:p w14:paraId="75CAB40C">
      <w:pPr>
        <w:pStyle w:val="19"/>
        <w:numPr>
          <w:ilvl w:val="0"/>
          <w:numId w:val="2"/>
        </w:numPr>
        <w:spacing w:after="60" w:line="340" w:lineRule="auto"/>
      </w:pPr>
      <w:r>
        <w:rPr>
          <w:rFonts w:ascii="宋体" w:hAnsi="宋体" w:eastAsia="宋体" w:cs="宋体"/>
          <w:sz w:val="24"/>
          <w:szCs w:val="24"/>
        </w:rPr>
        <w:t>为云山屯设计一份数字孪生系统的功能需求文档。</w:t>
      </w:r>
    </w:p>
    <w:p w14:paraId="68F8B32A">
      <w:pPr>
        <w:pStyle w:val="19"/>
        <w:numPr>
          <w:ilvl w:val="0"/>
          <w:numId w:val="2"/>
        </w:numPr>
        <w:spacing w:after="60" w:line="340" w:lineRule="auto"/>
      </w:pPr>
      <w:r>
        <w:rPr>
          <w:rFonts w:ascii="宋体" w:hAnsi="宋体" w:eastAsia="宋体" w:cs="宋体"/>
          <w:sz w:val="24"/>
          <w:szCs w:val="24"/>
        </w:rPr>
        <w:t>分析新媒体传播在屯堡文化旅游推广中的作用和风险。</w:t>
      </w:r>
    </w:p>
    <w:p w14:paraId="6254506E">
      <w:pPr>
        <w:pStyle w:val="19"/>
        <w:numPr>
          <w:ilvl w:val="0"/>
          <w:numId w:val="2"/>
        </w:numPr>
        <w:spacing w:after="60" w:line="340" w:lineRule="auto"/>
      </w:pPr>
      <w:r>
        <w:rPr>
          <w:rFonts w:ascii="宋体" w:hAnsi="宋体" w:eastAsia="宋体" w:cs="宋体"/>
          <w:sz w:val="24"/>
          <w:szCs w:val="24"/>
        </w:rPr>
        <w:t>调查一项你熟悉的非遗传承人培育计划，分析其成效和不足。</w:t>
      </w:r>
    </w:p>
    <w:p w14:paraId="08FCF885">
      <w:pPr>
        <w:pStyle w:val="19"/>
        <w:numPr>
          <w:ilvl w:val="0"/>
          <w:numId w:val="2"/>
        </w:numPr>
        <w:spacing w:after="60" w:line="340" w:lineRule="auto"/>
      </w:pPr>
      <w:r>
        <w:rPr>
          <w:rFonts w:ascii="宋体" w:hAnsi="宋体" w:eastAsia="宋体" w:cs="宋体"/>
          <w:sz w:val="24"/>
          <w:szCs w:val="24"/>
        </w:rPr>
        <w:t>提出3条应对屯堡文化旅游同质化竞争的具体建议。</w:t>
      </w:r>
    </w:p>
    <w:p w14:paraId="4A163261">
      <w:pPr>
        <w:pStyle w:val="3"/>
        <w:spacing w:before="300" w:after="200"/>
      </w:pPr>
      <w:bookmarkStart w:id="320" w:name="_Toc2387"/>
      <w:r>
        <w:rPr>
          <w:rFonts w:ascii="黑体" w:hAnsi="黑体" w:eastAsia="黑体" w:cs="黑体"/>
          <w:b/>
          <w:bCs/>
          <w:color w:val="000000"/>
          <w:sz w:val="28"/>
          <w:szCs w:val="28"/>
        </w:rPr>
        <w:t>知识卡片：屯堡核心村寨差异化定位</w:t>
      </w:r>
      <w:bookmarkEnd w:id="32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6B5D1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47C2F89">
            <w:pPr>
              <w:spacing w:after="0"/>
            </w:pPr>
            <w:r>
              <w:rPr>
                <w:rFonts w:ascii="宋体" w:hAnsi="宋体" w:eastAsia="宋体" w:cs="宋体"/>
                <w:b/>
                <w:bCs/>
                <w:color w:val="FFFFFF"/>
                <w:sz w:val="20"/>
                <w:szCs w:val="20"/>
              </w:rPr>
              <w:t>村寨</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50AC282">
            <w:pPr>
              <w:spacing w:after="0"/>
            </w:pPr>
            <w:r>
              <w:rPr>
                <w:rFonts w:ascii="宋体" w:hAnsi="宋体" w:eastAsia="宋体" w:cs="宋体"/>
                <w:b/>
                <w:bCs/>
                <w:color w:val="FFFFFF"/>
                <w:sz w:val="20"/>
                <w:szCs w:val="20"/>
              </w:rPr>
              <w:t>核心资源</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F4C2F63">
            <w:pPr>
              <w:spacing w:after="0"/>
            </w:pPr>
            <w:r>
              <w:rPr>
                <w:rFonts w:ascii="宋体" w:hAnsi="宋体" w:eastAsia="宋体" w:cs="宋体"/>
                <w:b/>
                <w:bCs/>
                <w:color w:val="FFFFFF"/>
                <w:sz w:val="20"/>
                <w:szCs w:val="20"/>
              </w:rPr>
              <w:t>旅游定位</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957A5CD">
            <w:pPr>
              <w:spacing w:after="0"/>
            </w:pPr>
            <w:r>
              <w:rPr>
                <w:rFonts w:ascii="宋体" w:hAnsi="宋体" w:eastAsia="宋体" w:cs="宋体"/>
                <w:b/>
                <w:bCs/>
                <w:color w:val="FFFFFF"/>
                <w:sz w:val="20"/>
                <w:szCs w:val="20"/>
              </w:rPr>
              <w:t>关键挑战</w:t>
            </w:r>
          </w:p>
        </w:tc>
      </w:tr>
      <w:tr w14:paraId="2B80E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42043A">
            <w:pPr>
              <w:spacing w:after="0"/>
            </w:pPr>
            <w:r>
              <w:rPr>
                <w:rFonts w:ascii="宋体" w:hAnsi="宋体" w:eastAsia="宋体" w:cs="宋体"/>
                <w:sz w:val="20"/>
                <w:szCs w:val="20"/>
              </w:rPr>
              <w:t>天龙屯堡</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B58D0DA">
            <w:pPr>
              <w:spacing w:after="0"/>
            </w:pPr>
            <w:r>
              <w:rPr>
                <w:rFonts w:ascii="宋体" w:hAnsi="宋体" w:eastAsia="宋体" w:cs="宋体"/>
                <w:sz w:val="20"/>
                <w:szCs w:val="20"/>
              </w:rPr>
              <w:t>成熟的旅游设施</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73C063E">
            <w:pPr>
              <w:spacing w:after="0"/>
            </w:pPr>
            <w:r>
              <w:rPr>
                <w:rFonts w:ascii="宋体" w:hAnsi="宋体" w:eastAsia="宋体" w:cs="宋体"/>
                <w:sz w:val="20"/>
                <w:szCs w:val="20"/>
              </w:rPr>
              <w:t>屯堡文化展示门户</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B3EAB43">
            <w:pPr>
              <w:spacing w:after="0"/>
            </w:pPr>
            <w:r>
              <w:rPr>
                <w:rFonts w:ascii="宋体" w:hAnsi="宋体" w:eastAsia="宋体" w:cs="宋体"/>
                <w:sz w:val="20"/>
                <w:szCs w:val="20"/>
              </w:rPr>
              <w:t>商业与原真性平衡</w:t>
            </w:r>
          </w:p>
        </w:tc>
      </w:tr>
      <w:tr w14:paraId="70A54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65F8EC">
            <w:pPr>
              <w:spacing w:after="0"/>
            </w:pPr>
            <w:r>
              <w:rPr>
                <w:rFonts w:ascii="宋体" w:hAnsi="宋体" w:eastAsia="宋体" w:cs="宋体"/>
                <w:sz w:val="20"/>
                <w:szCs w:val="20"/>
              </w:rPr>
              <w:t>本寨</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30A3F4">
            <w:pPr>
              <w:spacing w:after="0"/>
            </w:pPr>
            <w:r>
              <w:rPr>
                <w:rFonts w:ascii="宋体" w:hAnsi="宋体" w:eastAsia="宋体" w:cs="宋体"/>
                <w:sz w:val="20"/>
                <w:szCs w:val="20"/>
              </w:rPr>
              <w:t>完整的民居建筑群</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80BEB6">
            <w:pPr>
              <w:spacing w:after="0"/>
            </w:pPr>
            <w:r>
              <w:rPr>
                <w:rFonts w:ascii="宋体" w:hAnsi="宋体" w:eastAsia="宋体" w:cs="宋体"/>
                <w:sz w:val="20"/>
                <w:szCs w:val="20"/>
              </w:rPr>
              <w:t>建筑博物馆+研学基地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DAD9F7">
            <w:pPr>
              <w:spacing w:after="0"/>
            </w:pPr>
            <w:r>
              <w:rPr>
                <w:rFonts w:ascii="宋体" w:hAnsi="宋体" w:eastAsia="宋体" w:cs="宋体"/>
                <w:sz w:val="20"/>
                <w:szCs w:val="20"/>
              </w:rPr>
              <w:t>游客承载量限制</w:t>
            </w:r>
          </w:p>
        </w:tc>
      </w:tr>
      <w:tr w14:paraId="2219B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885487">
            <w:pPr>
              <w:spacing w:after="0"/>
            </w:pPr>
            <w:r>
              <w:rPr>
                <w:rFonts w:ascii="宋体" w:hAnsi="宋体" w:eastAsia="宋体" w:cs="宋体"/>
                <w:sz w:val="20"/>
                <w:szCs w:val="20"/>
              </w:rPr>
              <w:t>云山屯</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2431DE">
            <w:pPr>
              <w:spacing w:after="0"/>
            </w:pPr>
            <w:r>
              <w:rPr>
                <w:rFonts w:ascii="宋体" w:hAnsi="宋体" w:eastAsia="宋体" w:cs="宋体"/>
                <w:sz w:val="20"/>
                <w:szCs w:val="20"/>
              </w:rPr>
              <w:t>山势环境+军事遗址</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FEA356C">
            <w:pPr>
              <w:spacing w:after="0"/>
            </w:pPr>
            <w:r>
              <w:rPr>
                <w:rFonts w:ascii="宋体" w:hAnsi="宋体" w:eastAsia="宋体" w:cs="宋体"/>
                <w:sz w:val="20"/>
                <w:szCs w:val="20"/>
              </w:rPr>
              <w:t>山居文化体验地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FE63F76">
            <w:pPr>
              <w:spacing w:after="0"/>
            </w:pPr>
            <w:r>
              <w:rPr>
                <w:rFonts w:ascii="宋体" w:hAnsi="宋体" w:eastAsia="宋体" w:cs="宋体"/>
                <w:sz w:val="20"/>
                <w:szCs w:val="20"/>
              </w:rPr>
              <w:t>交通可达性</w:t>
            </w:r>
          </w:p>
        </w:tc>
      </w:tr>
      <w:tr w14:paraId="2ADFA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074728">
            <w:pPr>
              <w:spacing w:after="0"/>
            </w:pPr>
            <w:r>
              <w:rPr>
                <w:rFonts w:ascii="宋体" w:hAnsi="宋体" w:eastAsia="宋体" w:cs="宋体"/>
                <w:sz w:val="20"/>
                <w:szCs w:val="20"/>
              </w:rPr>
              <w:t>鲍家屯</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EE56EB">
            <w:pPr>
              <w:spacing w:after="0"/>
            </w:pPr>
            <w:r>
              <w:rPr>
                <w:rFonts w:ascii="宋体" w:hAnsi="宋体" w:eastAsia="宋体" w:cs="宋体"/>
                <w:sz w:val="20"/>
                <w:szCs w:val="20"/>
              </w:rPr>
              <w:t>古水利系统+稻作文化</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5C253C">
            <w:pPr>
              <w:spacing w:after="0"/>
            </w:pPr>
            <w:r>
              <w:rPr>
                <w:rFonts w:ascii="宋体" w:hAnsi="宋体" w:eastAsia="宋体" w:cs="宋体"/>
                <w:sz w:val="20"/>
                <w:szCs w:val="20"/>
              </w:rPr>
              <w:t>农文旅融合示范区</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479F21">
            <w:pPr>
              <w:spacing w:after="0"/>
            </w:pPr>
            <w:r>
              <w:rPr>
                <w:rFonts w:ascii="宋体" w:hAnsi="宋体" w:eastAsia="宋体" w:cs="宋体"/>
                <w:sz w:val="20"/>
                <w:szCs w:val="20"/>
              </w:rPr>
              <w:t>季节性影响</w:t>
            </w:r>
          </w:p>
        </w:tc>
      </w:tr>
      <w:tr w14:paraId="0495E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8CACDD">
            <w:pPr>
              <w:spacing w:after="0"/>
            </w:pPr>
            <w:r>
              <w:rPr>
                <w:rFonts w:ascii="宋体" w:hAnsi="宋体" w:eastAsia="宋体" w:cs="宋体"/>
                <w:sz w:val="20"/>
                <w:szCs w:val="20"/>
              </w:rPr>
              <w:t>旧州古镇</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2EBB8C">
            <w:pPr>
              <w:spacing w:after="0"/>
            </w:pPr>
            <w:r>
              <w:rPr>
                <w:rFonts w:ascii="宋体" w:hAnsi="宋体" w:eastAsia="宋体" w:cs="宋体"/>
                <w:sz w:val="20"/>
                <w:szCs w:val="20"/>
              </w:rPr>
              <w:t>多元文化交融</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43B7CE">
            <w:pPr>
              <w:spacing w:after="0"/>
            </w:pPr>
            <w:r>
              <w:rPr>
                <w:rFonts w:ascii="宋体" w:hAnsi="宋体" w:eastAsia="宋体" w:cs="宋体"/>
                <w:sz w:val="20"/>
                <w:szCs w:val="20"/>
              </w:rPr>
              <w:t>民族风情体验地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FCE89E">
            <w:pPr>
              <w:spacing w:after="0"/>
            </w:pPr>
            <w:r>
              <w:rPr>
                <w:rFonts w:ascii="宋体" w:hAnsi="宋体" w:eastAsia="宋体" w:cs="宋体"/>
                <w:sz w:val="20"/>
                <w:szCs w:val="20"/>
              </w:rPr>
              <w:t>文化主题聚焦</w:t>
            </w:r>
          </w:p>
        </w:tc>
      </w:tr>
    </w:tbl>
    <w:p w14:paraId="06737305">
      <w:r>
        <w:br w:type="page"/>
      </w:r>
    </w:p>
    <w:p w14:paraId="3E3DF727">
      <w:pPr>
        <w:pStyle w:val="2"/>
        <w:spacing w:before="400" w:after="200"/>
      </w:pPr>
      <w:bookmarkStart w:id="321" w:name="_Toc2362"/>
      <w:r>
        <w:rPr>
          <w:rFonts w:ascii="黑体" w:hAnsi="黑体" w:eastAsia="黑体" w:cs="黑体"/>
          <w:b/>
          <w:bCs/>
          <w:color w:val="1F4E79"/>
          <w:sz w:val="32"/>
          <w:szCs w:val="32"/>
        </w:rPr>
        <w:t>第 12 章  可持续发展与社区参与</w:t>
      </w:r>
      <w:bookmarkEnd w:id="321"/>
    </w:p>
    <w:p w14:paraId="78E61211">
      <w:pPr>
        <w:pStyle w:val="3"/>
        <w:spacing w:before="300" w:after="200"/>
      </w:pPr>
      <w:bookmarkStart w:id="322" w:name="_Toc1371"/>
      <w:r>
        <w:rPr>
          <w:rFonts w:ascii="黑体" w:hAnsi="黑体" w:eastAsia="黑体" w:cs="黑体"/>
          <w:b/>
          <w:bCs/>
          <w:color w:val="000000"/>
          <w:sz w:val="28"/>
          <w:szCs w:val="28"/>
        </w:rPr>
        <w:t>学习目标</w:t>
      </w:r>
      <w:bookmarkEnd w:id="322"/>
    </w:p>
    <w:p w14:paraId="5AE97922">
      <w:pPr>
        <w:pStyle w:val="19"/>
        <w:numPr>
          <w:ilvl w:val="0"/>
          <w:numId w:val="1"/>
        </w:numPr>
        <w:spacing w:after="60" w:line="340" w:lineRule="auto"/>
      </w:pPr>
      <w:r>
        <w:rPr>
          <w:rFonts w:ascii="宋体" w:hAnsi="宋体" w:eastAsia="宋体" w:cs="宋体"/>
          <w:sz w:val="24"/>
          <w:szCs w:val="24"/>
        </w:rPr>
        <w:t>理解文化遗产可持续发展的核心内涵与原则</w:t>
      </w:r>
    </w:p>
    <w:p w14:paraId="50B39498">
      <w:pPr>
        <w:pStyle w:val="19"/>
        <w:numPr>
          <w:ilvl w:val="0"/>
          <w:numId w:val="1"/>
        </w:numPr>
        <w:spacing w:after="60" w:line="340" w:lineRule="auto"/>
      </w:pPr>
      <w:r>
        <w:rPr>
          <w:rFonts w:ascii="宋体" w:hAnsi="宋体" w:eastAsia="宋体" w:cs="宋体"/>
          <w:sz w:val="24"/>
          <w:szCs w:val="24"/>
        </w:rPr>
        <w:t>掌握社区参与文化遗产保护的理论框架与实践方法</w:t>
      </w:r>
    </w:p>
    <w:p w14:paraId="24E6F174">
      <w:pPr>
        <w:pStyle w:val="19"/>
        <w:numPr>
          <w:ilvl w:val="0"/>
          <w:numId w:val="1"/>
        </w:numPr>
        <w:spacing w:after="60" w:line="340" w:lineRule="auto"/>
      </w:pPr>
      <w:r>
        <w:rPr>
          <w:rFonts w:ascii="宋体" w:hAnsi="宋体" w:eastAsia="宋体" w:cs="宋体"/>
          <w:sz w:val="24"/>
          <w:szCs w:val="24"/>
        </w:rPr>
        <w:t>了解屯堡文化保护中的利益相关者分析与协调机制</w:t>
      </w:r>
    </w:p>
    <w:p w14:paraId="7389A039">
      <w:pPr>
        <w:pStyle w:val="19"/>
        <w:numPr>
          <w:ilvl w:val="0"/>
          <w:numId w:val="1"/>
        </w:numPr>
        <w:spacing w:after="60" w:line="340" w:lineRule="auto"/>
      </w:pPr>
      <w:r>
        <w:rPr>
          <w:rFonts w:ascii="宋体" w:hAnsi="宋体" w:eastAsia="宋体" w:cs="宋体"/>
          <w:sz w:val="24"/>
          <w:szCs w:val="24"/>
        </w:rPr>
        <w:t>分析气候变化对屯堡文化遗产的影响与应对策略</w:t>
      </w:r>
    </w:p>
    <w:p w14:paraId="72E23E97">
      <w:pPr>
        <w:pStyle w:val="19"/>
        <w:numPr>
          <w:ilvl w:val="0"/>
          <w:numId w:val="1"/>
        </w:numPr>
        <w:spacing w:after="60" w:line="340" w:lineRule="auto"/>
      </w:pPr>
      <w:r>
        <w:rPr>
          <w:rFonts w:ascii="宋体" w:hAnsi="宋体" w:eastAsia="宋体" w:cs="宋体"/>
          <w:sz w:val="24"/>
          <w:szCs w:val="24"/>
        </w:rPr>
        <w:t>能够制定文化遗产可持续发展的行动方案</w:t>
      </w:r>
    </w:p>
    <w:p w14:paraId="7F2E5534">
      <w:pPr>
        <w:pStyle w:val="3"/>
        <w:spacing w:before="300" w:after="200"/>
      </w:pPr>
      <w:bookmarkStart w:id="323" w:name="_Toc16681"/>
      <w:r>
        <w:rPr>
          <w:rFonts w:ascii="黑体" w:hAnsi="黑体" w:eastAsia="黑体" w:cs="黑体"/>
          <w:b/>
          <w:bCs/>
          <w:color w:val="000000"/>
          <w:sz w:val="28"/>
          <w:szCs w:val="28"/>
        </w:rPr>
        <w:t>导入案例：谁的文化，谁的遗产？</w:t>
      </w:r>
      <w:bookmarkEnd w:id="323"/>
    </w:p>
    <w:p w14:paraId="5A96AA38">
      <w:pPr>
        <w:spacing w:after="120" w:line="360" w:lineRule="auto"/>
        <w:jc w:val="both"/>
      </w:pPr>
      <w:r>
        <w:rPr>
          <w:rFonts w:ascii="宋体" w:hAnsi="宋体" w:eastAsia="宋体" w:cs="宋体"/>
          <w:sz w:val="24"/>
          <w:szCs w:val="24"/>
        </w:rPr>
        <w:t>2018年，本寨发生了一次不大不小的"风波"。一家外地旅游公司提出整体租赁本寨30年的经营权，承诺投资2亿元进行旅游开发，每年给村集体分红200万元。方案在村民代表大会上引发了激烈争论。</w:t>
      </w:r>
    </w:p>
    <w:p w14:paraId="3742C990">
      <w:pPr>
        <w:spacing w:after="120" w:line="360" w:lineRule="auto"/>
        <w:jc w:val="both"/>
      </w:pPr>
      <w:r>
        <w:rPr>
          <w:rFonts w:ascii="宋体" w:hAnsi="宋体" w:eastAsia="宋体" w:cs="宋体"/>
          <w:sz w:val="24"/>
          <w:szCs w:val="24"/>
        </w:rPr>
        <w:t>支持者认为：本寨没钱修老宅，旅游公司能带来资金和发展机会。反对者质疑：30年后本寨还是"我们的本寨"吗？地戏表演从祭祀变成商业演出，凤阳汉装从日常穿着变成工作制服，"我们"还是"屯堡人"吗？</w:t>
      </w:r>
    </w:p>
    <w:p w14:paraId="56CBACF6">
      <w:pPr>
        <w:spacing w:after="120" w:line="360" w:lineRule="auto"/>
        <w:jc w:val="both"/>
      </w:pPr>
      <w:r>
        <w:rPr>
          <w:rFonts w:ascii="宋体" w:hAnsi="宋体" w:eastAsia="宋体" w:cs="宋体"/>
          <w:sz w:val="24"/>
          <w:szCs w:val="24"/>
        </w:rPr>
        <w:t>争论持续了三个月，最终村民投票否决了整体租赁方案，选择了"自己来"——成立村集体旅游合作社，对外寻求技术和渠道合作，但经营主导权掌握在社区手中。</w:t>
      </w:r>
    </w:p>
    <w:p w14:paraId="0CED8FCD">
      <w:pPr>
        <w:spacing w:after="120" w:line="360" w:lineRule="auto"/>
        <w:jc w:val="both"/>
      </w:pPr>
      <w:r>
        <w:rPr>
          <w:rFonts w:ascii="宋体" w:hAnsi="宋体" w:eastAsia="宋体" w:cs="宋体"/>
          <w:sz w:val="24"/>
          <w:szCs w:val="24"/>
        </w:rPr>
        <w:t>这个案例触及了文化遗产保护的核心问题：文化遗产属于谁？保护为了谁？发展依靠谁？答案似乎简单——文化遗产属于社区、保护为了社区、发展依靠社区——但在实践中，这些"理所当然"的原则往往被资本逻辑和行政力量所遮蔽。</w:t>
      </w:r>
    </w:p>
    <w:p w14:paraId="70F3830F">
      <w:pPr>
        <w:pStyle w:val="3"/>
        <w:spacing w:before="300" w:after="200"/>
      </w:pPr>
      <w:bookmarkStart w:id="324" w:name="_Toc21023"/>
      <w:r>
        <w:rPr>
          <w:rFonts w:ascii="黑体" w:hAnsi="黑体" w:eastAsia="黑体" w:cs="黑体"/>
          <w:b/>
          <w:bCs/>
          <w:color w:val="000000"/>
          <w:sz w:val="28"/>
          <w:szCs w:val="28"/>
        </w:rPr>
        <w:t>12.1 文化遗产可持续发展的理论框架</w:t>
      </w:r>
      <w:bookmarkEnd w:id="324"/>
    </w:p>
    <w:p w14:paraId="518B5390">
      <w:pPr>
        <w:pStyle w:val="4"/>
        <w:spacing w:before="300" w:after="200"/>
      </w:pPr>
      <w:bookmarkStart w:id="325" w:name="_Toc4945"/>
      <w:r>
        <w:rPr>
          <w:rFonts w:ascii="黑体" w:hAnsi="黑体" w:eastAsia="黑体" w:cs="黑体"/>
          <w:b/>
          <w:bCs/>
          <w:color w:val="000000"/>
          <w:sz w:val="26"/>
          <w:szCs w:val="26"/>
        </w:rPr>
        <w:t>12.1.1 可持续发展的四个维度</w:t>
      </w:r>
      <w:bookmarkEnd w:id="325"/>
    </w:p>
    <w:p w14:paraId="080830F9">
      <w:pPr>
        <w:spacing w:after="120" w:line="360" w:lineRule="auto"/>
        <w:jc w:val="both"/>
      </w:pPr>
      <w:r>
        <w:rPr>
          <w:rFonts w:ascii="宋体" w:hAnsi="宋体" w:eastAsia="宋体" w:cs="宋体"/>
          <w:sz w:val="24"/>
          <w:szCs w:val="24"/>
        </w:rPr>
        <w:t>联合国《2030年可持续发展议程》提出了可持续发展的17个目标（SDGs）。文化遗产领域的可持续发展可以从四个维度来理解：</w:t>
      </w:r>
    </w:p>
    <w:p w14:paraId="385DD834">
      <w:pPr>
        <w:spacing w:after="120" w:line="360" w:lineRule="auto"/>
        <w:jc w:val="both"/>
      </w:pPr>
      <w:r>
        <w:rPr>
          <w:rFonts w:ascii="宋体" w:hAnsi="宋体" w:eastAsia="宋体" w:cs="宋体"/>
          <w:b/>
          <w:bCs/>
          <w:sz w:val="24"/>
          <w:szCs w:val="24"/>
        </w:rPr>
        <w:t>文化可持续性。</w:t>
      </w:r>
      <w:r>
        <w:rPr>
          <w:rFonts w:ascii="宋体" w:hAnsi="宋体" w:eastAsia="宋体" w:cs="宋体"/>
          <w:sz w:val="24"/>
          <w:szCs w:val="24"/>
        </w:rPr>
        <w:t xml:space="preserve"> 文化遗产的物质载体和非物质表现形式得到有效保护和传承，文化多样性得到尊重和维护。</w:t>
      </w:r>
    </w:p>
    <w:p w14:paraId="3DA9339D">
      <w:pPr>
        <w:spacing w:after="120" w:line="360" w:lineRule="auto"/>
        <w:jc w:val="both"/>
      </w:pPr>
      <w:r>
        <w:rPr>
          <w:rFonts w:ascii="宋体" w:hAnsi="宋体" w:eastAsia="宋体" w:cs="宋体"/>
          <w:b/>
          <w:bCs/>
          <w:sz w:val="24"/>
          <w:szCs w:val="24"/>
        </w:rPr>
        <w:t>经济可持续性。</w:t>
      </w:r>
      <w:r>
        <w:rPr>
          <w:rFonts w:ascii="宋体" w:hAnsi="宋体" w:eastAsia="宋体" w:cs="宋体"/>
          <w:sz w:val="24"/>
          <w:szCs w:val="24"/>
        </w:rPr>
        <w:t xml:space="preserve"> 文化遗产的保护和利用能够产生持续的经济效益，为保护提供资金来源，为社区提供生计支持。</w:t>
      </w:r>
    </w:p>
    <w:p w14:paraId="1248B60A">
      <w:pPr>
        <w:spacing w:after="120" w:line="360" w:lineRule="auto"/>
        <w:jc w:val="both"/>
      </w:pPr>
      <w:r>
        <w:rPr>
          <w:rFonts w:ascii="宋体" w:hAnsi="宋体" w:eastAsia="宋体" w:cs="宋体"/>
          <w:b/>
          <w:bCs/>
          <w:sz w:val="24"/>
          <w:szCs w:val="24"/>
        </w:rPr>
        <w:t>社会可持续性。</w:t>
      </w:r>
      <w:r>
        <w:rPr>
          <w:rFonts w:ascii="宋体" w:hAnsi="宋体" w:eastAsia="宋体" w:cs="宋体"/>
          <w:sz w:val="24"/>
          <w:szCs w:val="24"/>
        </w:rPr>
        <w:t xml:space="preserve"> 文化遗产保护促进社会公平和社区凝聚力，不同群体公平分享保护成果。</w:t>
      </w:r>
    </w:p>
    <w:p w14:paraId="6DAFAF79">
      <w:pPr>
        <w:spacing w:after="120" w:line="360" w:lineRule="auto"/>
        <w:jc w:val="both"/>
      </w:pPr>
      <w:r>
        <w:rPr>
          <w:rFonts w:ascii="宋体" w:hAnsi="宋体" w:eastAsia="宋体" w:cs="宋体"/>
          <w:b/>
          <w:bCs/>
          <w:sz w:val="24"/>
          <w:szCs w:val="24"/>
        </w:rPr>
        <w:t>环境可持续性。</w:t>
      </w:r>
      <w:r>
        <w:rPr>
          <w:rFonts w:ascii="宋体" w:hAnsi="宋体" w:eastAsia="宋体" w:cs="宋体"/>
          <w:sz w:val="24"/>
          <w:szCs w:val="24"/>
        </w:rPr>
        <w:t xml:space="preserve"> 文化遗产保护与生态环境保护相协调，旅游开发不对自然环境造成不可逆转的损害。</w:t>
      </w:r>
    </w:p>
    <w:p w14:paraId="654102B2">
      <w:pPr>
        <w:pStyle w:val="4"/>
        <w:spacing w:before="300" w:after="200"/>
      </w:pPr>
      <w:bookmarkStart w:id="326" w:name="_Toc28652"/>
      <w:r>
        <w:rPr>
          <w:rFonts w:ascii="黑体" w:hAnsi="黑体" w:eastAsia="黑体" w:cs="黑体"/>
          <w:b/>
          <w:bCs/>
          <w:color w:val="000000"/>
          <w:sz w:val="26"/>
          <w:szCs w:val="26"/>
        </w:rPr>
        <w:t>12.1.2 可持续旅游原则</w:t>
      </w:r>
      <w:bookmarkEnd w:id="326"/>
    </w:p>
    <w:p w14:paraId="4F94AEF1">
      <w:pPr>
        <w:spacing w:after="120" w:line="360" w:lineRule="auto"/>
        <w:jc w:val="both"/>
      </w:pPr>
      <w:r>
        <w:rPr>
          <w:rFonts w:ascii="宋体" w:hAnsi="宋体" w:eastAsia="宋体" w:cs="宋体"/>
          <w:sz w:val="24"/>
          <w:szCs w:val="24"/>
        </w:rPr>
        <w:t>联合国教科文组织和世界旅游组织提出了文化遗产可持续旅游的核心原则：</w:t>
      </w:r>
    </w:p>
    <w:p w14:paraId="16768796">
      <w:pPr>
        <w:spacing w:after="120" w:line="360" w:lineRule="auto"/>
        <w:jc w:val="both"/>
      </w:pPr>
      <w:r>
        <w:rPr>
          <w:rFonts w:ascii="宋体" w:hAnsi="宋体" w:eastAsia="宋体" w:cs="宋体"/>
          <w:b/>
          <w:bCs/>
          <w:sz w:val="24"/>
          <w:szCs w:val="24"/>
        </w:rPr>
        <w:t>保护优先。</w:t>
      </w:r>
      <w:r>
        <w:rPr>
          <w:rFonts w:ascii="宋体" w:hAnsi="宋体" w:eastAsia="宋体" w:cs="宋体"/>
          <w:sz w:val="24"/>
          <w:szCs w:val="24"/>
        </w:rPr>
        <w:t xml:space="preserve"> 旅游开发不得损害文化遗产的核心价值。当保护与开发发生冲突时，保护优先。</w:t>
      </w:r>
    </w:p>
    <w:p w14:paraId="0501AF70">
      <w:pPr>
        <w:spacing w:after="120" w:line="360" w:lineRule="auto"/>
        <w:jc w:val="both"/>
      </w:pPr>
      <w:r>
        <w:rPr>
          <w:rFonts w:ascii="宋体" w:hAnsi="宋体" w:eastAsia="宋体" w:cs="宋体"/>
          <w:b/>
          <w:bCs/>
          <w:sz w:val="24"/>
          <w:szCs w:val="24"/>
        </w:rPr>
        <w:t>社区主体。</w:t>
      </w:r>
      <w:r>
        <w:rPr>
          <w:rFonts w:ascii="宋体" w:hAnsi="宋体" w:eastAsia="宋体" w:cs="宋体"/>
          <w:sz w:val="24"/>
          <w:szCs w:val="24"/>
        </w:rPr>
        <w:t xml:space="preserve"> 社区是文化遗产的主人，有权参与旅游开发的决策和利益分配。</w:t>
      </w:r>
    </w:p>
    <w:p w14:paraId="60AD4CD5">
      <w:pPr>
        <w:spacing w:after="120" w:line="360" w:lineRule="auto"/>
        <w:jc w:val="both"/>
      </w:pPr>
      <w:r>
        <w:rPr>
          <w:rFonts w:ascii="宋体" w:hAnsi="宋体" w:eastAsia="宋体" w:cs="宋体"/>
          <w:b/>
          <w:bCs/>
          <w:sz w:val="24"/>
          <w:szCs w:val="24"/>
        </w:rPr>
        <w:t>真实性传达。</w:t>
      </w:r>
      <w:r>
        <w:rPr>
          <w:rFonts w:ascii="宋体" w:hAnsi="宋体" w:eastAsia="宋体" w:cs="宋体"/>
          <w:sz w:val="24"/>
          <w:szCs w:val="24"/>
        </w:rPr>
        <w:t xml:space="preserve"> 旅游解说应准确、全面地传达文化遗产的价值和意义，不得为了吸引游客而歪曲历史和文化。</w:t>
      </w:r>
    </w:p>
    <w:p w14:paraId="1FB0EF76">
      <w:pPr>
        <w:spacing w:after="120" w:line="360" w:lineRule="auto"/>
        <w:jc w:val="both"/>
      </w:pPr>
      <w:r>
        <w:rPr>
          <w:rFonts w:ascii="宋体" w:hAnsi="宋体" w:eastAsia="宋体" w:cs="宋体"/>
          <w:b/>
          <w:bCs/>
          <w:sz w:val="24"/>
          <w:szCs w:val="24"/>
        </w:rPr>
        <w:t>承载力管理。</w:t>
      </w:r>
      <w:r>
        <w:rPr>
          <w:rFonts w:ascii="宋体" w:hAnsi="宋体" w:eastAsia="宋体" w:cs="宋体"/>
          <w:sz w:val="24"/>
          <w:szCs w:val="24"/>
        </w:rPr>
        <w:t xml:space="preserve"> 旅游规模应控制在文化遗产和环境承载力的范围内。</w:t>
      </w:r>
    </w:p>
    <w:p w14:paraId="4C2AD84C">
      <w:pPr>
        <w:spacing w:after="120" w:line="360" w:lineRule="auto"/>
        <w:jc w:val="both"/>
      </w:pPr>
      <w:r>
        <w:rPr>
          <w:rFonts w:ascii="宋体" w:hAnsi="宋体" w:eastAsia="宋体" w:cs="宋体"/>
          <w:b/>
          <w:bCs/>
          <w:sz w:val="24"/>
          <w:szCs w:val="24"/>
        </w:rPr>
        <w:t>利益公平分配。</w:t>
      </w:r>
      <w:r>
        <w:rPr>
          <w:rFonts w:ascii="宋体" w:hAnsi="宋体" w:eastAsia="宋体" w:cs="宋体"/>
          <w:sz w:val="24"/>
          <w:szCs w:val="24"/>
        </w:rPr>
        <w:t xml:space="preserve"> 旅游收益应在社区内部公平分配，优先惠及文化传承人和弱势群体。</w:t>
      </w:r>
    </w:p>
    <w:p w14:paraId="4271B9EC">
      <w:pPr>
        <w:pStyle w:val="4"/>
        <w:spacing w:before="300" w:after="200"/>
      </w:pPr>
      <w:bookmarkStart w:id="327" w:name="_Toc17459"/>
      <w:r>
        <w:rPr>
          <w:rFonts w:ascii="黑体" w:hAnsi="黑体" w:eastAsia="黑体" w:cs="黑体"/>
          <w:b/>
          <w:bCs/>
          <w:color w:val="000000"/>
          <w:sz w:val="26"/>
          <w:szCs w:val="26"/>
        </w:rPr>
        <w:t>12.1.3 韧性理论</w:t>
      </w:r>
      <w:bookmarkEnd w:id="327"/>
    </w:p>
    <w:p w14:paraId="57FBEE64">
      <w:pPr>
        <w:spacing w:after="120" w:line="360" w:lineRule="auto"/>
        <w:jc w:val="both"/>
      </w:pPr>
      <w:r>
        <w:rPr>
          <w:rFonts w:ascii="宋体" w:hAnsi="宋体" w:eastAsia="宋体" w:cs="宋体"/>
          <w:sz w:val="24"/>
          <w:szCs w:val="24"/>
        </w:rPr>
        <w:t>近年来，"韧性"（Resilience）概念被引入文化遗产领域。韧性指一个系统在面临扰动和冲击时保持核心功能并适应变化的能力。</w:t>
      </w:r>
    </w:p>
    <w:p w14:paraId="77C245DA">
      <w:pPr>
        <w:spacing w:after="120" w:line="360" w:lineRule="auto"/>
        <w:jc w:val="both"/>
      </w:pPr>
      <w:r>
        <w:rPr>
          <w:rFonts w:ascii="宋体" w:hAnsi="宋体" w:eastAsia="宋体" w:cs="宋体"/>
          <w:sz w:val="24"/>
          <w:szCs w:val="24"/>
        </w:rPr>
        <w:t>文化遗产韧性包括：结构韧性——建筑和物质载体抵抗自然和人为破坏的能力；制度韧性——管理制度应对变化和危机的能力；社区韧性——社区在面临外部冲击时保持文化认同和传承动力的能力。</w:t>
      </w:r>
    </w:p>
    <w:p w14:paraId="5B3365C5">
      <w:pPr>
        <w:spacing w:after="120" w:line="360" w:lineRule="auto"/>
        <w:jc w:val="both"/>
      </w:pPr>
      <w:r>
        <w:rPr>
          <w:rFonts w:ascii="宋体" w:hAnsi="宋体" w:eastAsia="宋体" w:cs="宋体"/>
          <w:sz w:val="24"/>
          <w:szCs w:val="24"/>
        </w:rPr>
        <w:t>韧性视角的引入意味着文化遗产管理从"防止变化"转向"适应变化"——不是试图将文化遗产"冻结"在某个理想状态，而是增强其应对不确定未来的能力。</w:t>
      </w:r>
    </w:p>
    <w:p w14:paraId="549EDCA7">
      <w:pPr>
        <w:pStyle w:val="3"/>
        <w:spacing w:before="300" w:after="200"/>
      </w:pPr>
      <w:bookmarkStart w:id="328" w:name="_Toc26889"/>
      <w:r>
        <w:rPr>
          <w:rFonts w:ascii="黑体" w:hAnsi="黑体" w:eastAsia="黑体" w:cs="黑体"/>
          <w:b/>
          <w:bCs/>
          <w:color w:val="000000"/>
          <w:sz w:val="28"/>
          <w:szCs w:val="28"/>
        </w:rPr>
        <w:t>12.2 社区参与的理论与实践</w:t>
      </w:r>
      <w:bookmarkEnd w:id="328"/>
    </w:p>
    <w:p w14:paraId="41A83592">
      <w:pPr>
        <w:pStyle w:val="4"/>
        <w:spacing w:before="300" w:after="200"/>
      </w:pPr>
      <w:bookmarkStart w:id="329" w:name="_Toc13753"/>
      <w:r>
        <w:rPr>
          <w:rFonts w:ascii="黑体" w:hAnsi="黑体" w:eastAsia="黑体" w:cs="黑体"/>
          <w:b/>
          <w:bCs/>
          <w:color w:val="000000"/>
          <w:sz w:val="26"/>
          <w:szCs w:val="26"/>
        </w:rPr>
        <w:t>12.2.1 Arnstein的参与阶梯</w:t>
      </w:r>
      <w:bookmarkEnd w:id="329"/>
    </w:p>
    <w:p w14:paraId="45DC6628">
      <w:pPr>
        <w:spacing w:after="120" w:line="360" w:lineRule="auto"/>
        <w:jc w:val="both"/>
      </w:pPr>
      <w:r>
        <w:rPr>
          <w:rFonts w:ascii="宋体" w:hAnsi="宋体" w:eastAsia="宋体" w:cs="宋体"/>
          <w:sz w:val="24"/>
          <w:szCs w:val="24"/>
        </w:rPr>
        <w:t>美国学者Sherry Arnstein在1969年提出了著名的"公众参与阶梯"理论，将公众参与分为八个层次，从低到高依次为：操纵、治疗（非参与）；告知、咨询、安抚（象征性参与）；合作伙伴、授权、公民控制（实质性参与）。</w:t>
      </w:r>
    </w:p>
    <w:p w14:paraId="229276E3">
      <w:pPr>
        <w:spacing w:after="120" w:line="360" w:lineRule="auto"/>
        <w:jc w:val="both"/>
      </w:pPr>
      <w:r>
        <w:rPr>
          <w:rFonts w:ascii="宋体" w:hAnsi="宋体" w:eastAsia="宋体" w:cs="宋体"/>
          <w:sz w:val="24"/>
          <w:szCs w:val="24"/>
        </w:rPr>
        <w:t>在文化遗产保护领域，这一理论同样适用。很多声称"社区参与"的项目实际上停留在"告知"或"咨询"层面——专家和政府制定好方案，然后"告知"社区，或者征求社区意见但不保证采纳。真正意义上的社区参与应达到"合作伙伴"及以上层次——社区在决策中有实质性的发言权和决定权。</w:t>
      </w:r>
    </w:p>
    <w:p w14:paraId="5AB866D1">
      <w:pPr>
        <w:pStyle w:val="4"/>
        <w:spacing w:before="300" w:after="200"/>
      </w:pPr>
      <w:bookmarkStart w:id="330" w:name="_Toc32132"/>
      <w:r>
        <w:rPr>
          <w:rFonts w:ascii="黑体" w:hAnsi="黑体" w:eastAsia="黑体" w:cs="黑体"/>
          <w:b/>
          <w:bCs/>
          <w:color w:val="000000"/>
          <w:sz w:val="26"/>
          <w:szCs w:val="26"/>
        </w:rPr>
        <w:t>12.2.2 社区参与的层次</w:t>
      </w:r>
      <w:bookmarkEnd w:id="330"/>
    </w:p>
    <w:p w14:paraId="0406782C">
      <w:pPr>
        <w:spacing w:after="120" w:line="360" w:lineRule="auto"/>
        <w:jc w:val="both"/>
      </w:pPr>
      <w:r>
        <w:rPr>
          <w:rFonts w:ascii="宋体" w:hAnsi="宋体" w:eastAsia="宋体" w:cs="宋体"/>
          <w:sz w:val="24"/>
          <w:szCs w:val="24"/>
        </w:rPr>
        <w:t>屯堡文化保护中的社区参与可分为以下层次：</w:t>
      </w:r>
    </w:p>
    <w:p w14:paraId="31EF29FA">
      <w:pPr>
        <w:spacing w:after="120" w:line="360" w:lineRule="auto"/>
        <w:jc w:val="both"/>
      </w:pPr>
      <w:r>
        <w:rPr>
          <w:rFonts w:ascii="宋体" w:hAnsi="宋体" w:eastAsia="宋体" w:cs="宋体"/>
          <w:b/>
          <w:bCs/>
          <w:sz w:val="24"/>
          <w:szCs w:val="24"/>
        </w:rPr>
        <w:t>信息告知。</w:t>
      </w:r>
      <w:r>
        <w:rPr>
          <w:rFonts w:ascii="宋体" w:hAnsi="宋体" w:eastAsia="宋体" w:cs="宋体"/>
          <w:sz w:val="24"/>
          <w:szCs w:val="24"/>
        </w:rPr>
        <w:t xml:space="preserve"> 向社区通报保护规划和旅游开发的相关信息。这是最基本的参与层次，社区处于被动接收信息的地位。</w:t>
      </w:r>
    </w:p>
    <w:p w14:paraId="0366F154">
      <w:pPr>
        <w:spacing w:after="120" w:line="360" w:lineRule="auto"/>
        <w:jc w:val="both"/>
      </w:pPr>
      <w:r>
        <w:rPr>
          <w:rFonts w:ascii="宋体" w:hAnsi="宋体" w:eastAsia="宋体" w:cs="宋体"/>
          <w:b/>
          <w:bCs/>
          <w:sz w:val="24"/>
          <w:szCs w:val="24"/>
        </w:rPr>
        <w:t>意见征询。</w:t>
      </w:r>
      <w:r>
        <w:rPr>
          <w:rFonts w:ascii="宋体" w:hAnsi="宋体" w:eastAsia="宋体" w:cs="宋体"/>
          <w:sz w:val="24"/>
          <w:szCs w:val="24"/>
        </w:rPr>
        <w:t xml:space="preserve"> 通过座谈会、问卷调查等方式征求社区对保护方案的意见。社区的"声音被听到"，但不一定"被采纳"。</w:t>
      </w:r>
    </w:p>
    <w:p w14:paraId="11D40421">
      <w:pPr>
        <w:spacing w:after="120" w:line="360" w:lineRule="auto"/>
        <w:jc w:val="both"/>
      </w:pPr>
      <w:r>
        <w:rPr>
          <w:rFonts w:ascii="宋体" w:hAnsi="宋体" w:eastAsia="宋体" w:cs="宋体"/>
          <w:b/>
          <w:bCs/>
          <w:sz w:val="24"/>
          <w:szCs w:val="24"/>
        </w:rPr>
        <w:t>协商合作。</w:t>
      </w:r>
      <w:r>
        <w:rPr>
          <w:rFonts w:ascii="宋体" w:hAnsi="宋体" w:eastAsia="宋体" w:cs="宋体"/>
          <w:sz w:val="24"/>
          <w:szCs w:val="24"/>
        </w:rPr>
        <w:t xml:space="preserve"> 社区代表与政府、专家、企业等外部力量就保护方案进行协商，各方都有一定的话语权和影响力。</w:t>
      </w:r>
    </w:p>
    <w:p w14:paraId="07A230CA">
      <w:pPr>
        <w:spacing w:after="120" w:line="360" w:lineRule="auto"/>
        <w:jc w:val="both"/>
      </w:pPr>
      <w:r>
        <w:rPr>
          <w:rFonts w:ascii="宋体" w:hAnsi="宋体" w:eastAsia="宋体" w:cs="宋体"/>
          <w:b/>
          <w:bCs/>
          <w:sz w:val="24"/>
          <w:szCs w:val="24"/>
        </w:rPr>
        <w:t>共同决策。</w:t>
      </w:r>
      <w:r>
        <w:rPr>
          <w:rFonts w:ascii="宋体" w:hAnsi="宋体" w:eastAsia="宋体" w:cs="宋体"/>
          <w:sz w:val="24"/>
          <w:szCs w:val="24"/>
        </w:rPr>
        <w:t xml:space="preserve"> 社区在重大决策中拥有表决权，决策结果反映社区的意愿。</w:t>
      </w:r>
    </w:p>
    <w:p w14:paraId="6856904F">
      <w:pPr>
        <w:spacing w:after="120" w:line="360" w:lineRule="auto"/>
        <w:jc w:val="both"/>
      </w:pPr>
      <w:r>
        <w:rPr>
          <w:rFonts w:ascii="宋体" w:hAnsi="宋体" w:eastAsia="宋体" w:cs="宋体"/>
          <w:b/>
          <w:bCs/>
          <w:sz w:val="24"/>
          <w:szCs w:val="24"/>
        </w:rPr>
        <w:t>社区主导。</w:t>
      </w:r>
      <w:r>
        <w:rPr>
          <w:rFonts w:ascii="宋体" w:hAnsi="宋体" w:eastAsia="宋体" w:cs="宋体"/>
          <w:sz w:val="24"/>
          <w:szCs w:val="24"/>
        </w:rPr>
        <w:t xml:space="preserve"> 社区自主发起、主导保护和开发项目，外部力量提供技术、资金和渠道支持。</w:t>
      </w:r>
    </w:p>
    <w:p w14:paraId="23E9609B">
      <w:pPr>
        <w:pStyle w:val="4"/>
        <w:spacing w:before="300" w:after="200"/>
      </w:pPr>
      <w:bookmarkStart w:id="331" w:name="_Toc15933"/>
      <w:r>
        <w:rPr>
          <w:rFonts w:ascii="黑体" w:hAnsi="黑体" w:eastAsia="黑体" w:cs="黑体"/>
          <w:b/>
          <w:bCs/>
          <w:color w:val="000000"/>
          <w:sz w:val="26"/>
          <w:szCs w:val="26"/>
        </w:rPr>
        <w:t>12.2.3 屯堡社区参与的实践</w:t>
      </w:r>
      <w:bookmarkEnd w:id="331"/>
    </w:p>
    <w:p w14:paraId="4B794D41">
      <w:pPr>
        <w:spacing w:after="120" w:line="360" w:lineRule="auto"/>
        <w:jc w:val="both"/>
      </w:pPr>
      <w:r>
        <w:rPr>
          <w:rFonts w:ascii="宋体" w:hAnsi="宋体" w:eastAsia="宋体" w:cs="宋体"/>
          <w:b/>
          <w:bCs/>
          <w:sz w:val="24"/>
          <w:szCs w:val="24"/>
        </w:rPr>
        <w:t>本寨模式：社区主导型。</w:t>
      </w:r>
      <w:r>
        <w:rPr>
          <w:rFonts w:ascii="宋体" w:hAnsi="宋体" w:eastAsia="宋体" w:cs="宋体"/>
          <w:sz w:val="24"/>
          <w:szCs w:val="24"/>
        </w:rPr>
        <w:t xml:space="preserve"> 本寨否决了整体租赁方案后，成立了村集体旅游合作社，以"社区主导、外部支持"的方式发展旅游。合作社统一管理村内旅游资源，统一分配旅游收益。外部合作者（如研学机构、民宿运营商）以技术和渠道入股，但经营主导权在社区。</w:t>
      </w:r>
    </w:p>
    <w:p w14:paraId="65EA94F0">
      <w:pPr>
        <w:spacing w:after="120" w:line="360" w:lineRule="auto"/>
        <w:jc w:val="both"/>
      </w:pPr>
      <w:r>
        <w:rPr>
          <w:rFonts w:ascii="宋体" w:hAnsi="宋体" w:eastAsia="宋体" w:cs="宋体"/>
          <w:sz w:val="24"/>
          <w:szCs w:val="24"/>
        </w:rPr>
        <w:t>本寨模式的优势是社区对文化遗产的控制权得到了保障，旅游收益更多地留在了社区。局限是社区自身的资金实力和管理能力有限，发展速度相对较慢。</w:t>
      </w:r>
    </w:p>
    <w:p w14:paraId="0C442423">
      <w:pPr>
        <w:spacing w:after="120" w:line="360" w:lineRule="auto"/>
        <w:jc w:val="both"/>
      </w:pPr>
      <w:r>
        <w:rPr>
          <w:rFonts w:ascii="宋体" w:hAnsi="宋体" w:eastAsia="宋体" w:cs="宋体"/>
          <w:b/>
          <w:bCs/>
          <w:sz w:val="24"/>
          <w:szCs w:val="24"/>
        </w:rPr>
        <w:t>天龙模式：企业主导+社区参与。</w:t>
      </w:r>
      <w:r>
        <w:rPr>
          <w:rFonts w:ascii="宋体" w:hAnsi="宋体" w:eastAsia="宋体" w:cs="宋体"/>
          <w:sz w:val="24"/>
          <w:szCs w:val="24"/>
        </w:rPr>
        <w:t xml:space="preserve"> 天龙屯堡的旅游开发由旅游公司主导，社区以房屋租赁、劳务就业、地戏表演等方式参与。这种模式的优势是资金雄厚、管理专业、发展速度快。局限是社区在重大决策中的话语权不足，旅游收益的分配存在争议。</w:t>
      </w:r>
    </w:p>
    <w:p w14:paraId="45662D9E">
      <w:pPr>
        <w:spacing w:after="120" w:line="360" w:lineRule="auto"/>
        <w:jc w:val="both"/>
      </w:pPr>
      <w:r>
        <w:rPr>
          <w:rFonts w:ascii="宋体" w:hAnsi="宋体" w:eastAsia="宋体" w:cs="宋体"/>
          <w:b/>
          <w:bCs/>
          <w:sz w:val="24"/>
          <w:szCs w:val="24"/>
        </w:rPr>
        <w:t>鲍家屯模式：多主体协作。</w:t>
      </w:r>
      <w:r>
        <w:rPr>
          <w:rFonts w:ascii="宋体" w:hAnsi="宋体" w:eastAsia="宋体" w:cs="宋体"/>
          <w:sz w:val="24"/>
          <w:szCs w:val="24"/>
        </w:rPr>
        <w:t xml:space="preserve"> 鲍家屯的保护与发展由水利部门（负责古水利系统维护）、农业部门（支持生态农业发展）、文旅部门（推动研学旅游）和村集体（组织村民参与）多方协作。这种模式的优势是资源整合能力强。局限是多主体协调的成本高。</w:t>
      </w:r>
    </w:p>
    <w:p w14:paraId="03C24A7F">
      <w:pPr>
        <w:pStyle w:val="3"/>
        <w:spacing w:before="300" w:after="200"/>
      </w:pPr>
      <w:bookmarkStart w:id="332" w:name="_Toc3763"/>
      <w:r>
        <w:rPr>
          <w:rFonts w:ascii="黑体" w:hAnsi="黑体" w:eastAsia="黑体" w:cs="黑体"/>
          <w:b/>
          <w:bCs/>
          <w:color w:val="000000"/>
          <w:sz w:val="28"/>
          <w:szCs w:val="28"/>
        </w:rPr>
        <w:t>12.3 利益相关者分析</w:t>
      </w:r>
      <w:bookmarkEnd w:id="332"/>
    </w:p>
    <w:p w14:paraId="58309A31">
      <w:pPr>
        <w:pStyle w:val="4"/>
        <w:spacing w:before="300" w:after="200"/>
      </w:pPr>
      <w:bookmarkStart w:id="333" w:name="_Toc5275"/>
      <w:r>
        <w:rPr>
          <w:rFonts w:ascii="黑体" w:hAnsi="黑体" w:eastAsia="黑体" w:cs="黑体"/>
          <w:b/>
          <w:bCs/>
          <w:color w:val="000000"/>
          <w:sz w:val="26"/>
          <w:szCs w:val="26"/>
        </w:rPr>
        <w:t>12.3.1 利益相关者识别</w:t>
      </w:r>
      <w:bookmarkEnd w:id="333"/>
    </w:p>
    <w:p w14:paraId="5CC65A55">
      <w:pPr>
        <w:spacing w:after="120" w:line="360" w:lineRule="auto"/>
        <w:jc w:val="both"/>
      </w:pPr>
      <w:r>
        <w:rPr>
          <w:rFonts w:ascii="宋体" w:hAnsi="宋体" w:eastAsia="宋体" w:cs="宋体"/>
          <w:sz w:val="24"/>
          <w:szCs w:val="24"/>
        </w:rPr>
        <w:t>屯堡文化保护与旅游活化涉及多元利益相关者：</w:t>
      </w:r>
    </w:p>
    <w:p w14:paraId="0440C100">
      <w:pPr>
        <w:spacing w:after="120" w:line="360" w:lineRule="auto"/>
        <w:jc w:val="both"/>
      </w:pPr>
      <w:r>
        <w:rPr>
          <w:rFonts w:ascii="宋体" w:hAnsi="宋体" w:eastAsia="宋体" w:cs="宋体"/>
          <w:b/>
          <w:bCs/>
          <w:sz w:val="24"/>
          <w:szCs w:val="24"/>
        </w:rPr>
        <w:t>核心层。</w:t>
      </w:r>
      <w:r>
        <w:rPr>
          <w:rFonts w:ascii="宋体" w:hAnsi="宋体" w:eastAsia="宋体" w:cs="宋体"/>
          <w:sz w:val="24"/>
          <w:szCs w:val="24"/>
        </w:rPr>
        <w:t xml:space="preserve"> 屯堡社区居民（包括仍居住在本地的居民和外出务工的"离乡屯堡人"）、非遗传承人。</w:t>
      </w:r>
    </w:p>
    <w:p w14:paraId="13594078">
      <w:pPr>
        <w:spacing w:after="120" w:line="360" w:lineRule="auto"/>
        <w:jc w:val="both"/>
      </w:pPr>
      <w:r>
        <w:rPr>
          <w:rFonts w:ascii="宋体" w:hAnsi="宋体" w:eastAsia="宋体" w:cs="宋体"/>
          <w:b/>
          <w:bCs/>
          <w:sz w:val="24"/>
          <w:szCs w:val="24"/>
        </w:rPr>
        <w:t>直接层。</w:t>
      </w:r>
      <w:r>
        <w:rPr>
          <w:rFonts w:ascii="宋体" w:hAnsi="宋体" w:eastAsia="宋体" w:cs="宋体"/>
          <w:sz w:val="24"/>
          <w:szCs w:val="24"/>
        </w:rPr>
        <w:t xml:space="preserve"> 各级政府（文物局、文旅局、住建局、水利局等）、旅游企业、研究机构、旅游消费者。</w:t>
      </w:r>
    </w:p>
    <w:p w14:paraId="4F235947">
      <w:pPr>
        <w:spacing w:after="120" w:line="360" w:lineRule="auto"/>
        <w:jc w:val="both"/>
      </w:pPr>
      <w:r>
        <w:rPr>
          <w:rFonts w:ascii="宋体" w:hAnsi="宋体" w:eastAsia="宋体" w:cs="宋体"/>
          <w:b/>
          <w:bCs/>
          <w:sz w:val="24"/>
          <w:szCs w:val="24"/>
        </w:rPr>
        <w:t>间接层。</w:t>
      </w:r>
      <w:r>
        <w:rPr>
          <w:rFonts w:ascii="宋体" w:hAnsi="宋体" w:eastAsia="宋体" w:cs="宋体"/>
          <w:sz w:val="24"/>
          <w:szCs w:val="24"/>
        </w:rPr>
        <w:t xml:space="preserve"> 媒体、非政府组织、一般公众、后代人（尚未出生但受当代决策影响的未来世代）。</w:t>
      </w:r>
    </w:p>
    <w:p w14:paraId="1FDA3378">
      <w:pPr>
        <w:pStyle w:val="4"/>
        <w:spacing w:before="300" w:after="200"/>
      </w:pPr>
      <w:bookmarkStart w:id="334" w:name="_Toc20343"/>
      <w:r>
        <w:rPr>
          <w:rFonts w:ascii="黑体" w:hAnsi="黑体" w:eastAsia="黑体" w:cs="黑体"/>
          <w:b/>
          <w:bCs/>
          <w:color w:val="000000"/>
          <w:sz w:val="26"/>
          <w:szCs w:val="26"/>
        </w:rPr>
        <w:t>12.3.2 利益诉求分析</w:t>
      </w:r>
      <w:bookmarkEnd w:id="334"/>
    </w:p>
    <w:p w14:paraId="7186B05F">
      <w:pPr>
        <w:spacing w:after="120" w:line="360" w:lineRule="auto"/>
        <w:jc w:val="both"/>
      </w:pPr>
      <w:r>
        <w:rPr>
          <w:rFonts w:ascii="宋体" w:hAnsi="宋体" w:eastAsia="宋体" w:cs="宋体"/>
          <w:sz w:val="24"/>
          <w:szCs w:val="24"/>
        </w:rPr>
        <w:t>不同利益相关者的诉求既有交集也有差异：</w:t>
      </w:r>
    </w:p>
    <w:p w14:paraId="752F51A0">
      <w:pPr>
        <w:spacing w:after="120" w:line="360" w:lineRule="auto"/>
        <w:jc w:val="both"/>
      </w:pPr>
      <w:r>
        <w:rPr>
          <w:rFonts w:ascii="宋体" w:hAnsi="宋体" w:eastAsia="宋体" w:cs="宋体"/>
          <w:b/>
          <w:bCs/>
          <w:sz w:val="24"/>
          <w:szCs w:val="24"/>
        </w:rPr>
        <w:t>社区居民。</w:t>
      </w:r>
      <w:r>
        <w:rPr>
          <w:rFonts w:ascii="宋体" w:hAnsi="宋体" w:eastAsia="宋体" w:cs="宋体"/>
          <w:sz w:val="24"/>
          <w:szCs w:val="24"/>
        </w:rPr>
        <w:t xml:space="preserve"> 改善生活条件、增加经济收入、维护文化传统、保持生活方式的自主权。</w:t>
      </w:r>
    </w:p>
    <w:p w14:paraId="4EAB4C27">
      <w:pPr>
        <w:spacing w:after="120" w:line="360" w:lineRule="auto"/>
        <w:jc w:val="both"/>
      </w:pPr>
      <w:r>
        <w:rPr>
          <w:rFonts w:ascii="宋体" w:hAnsi="宋体" w:eastAsia="宋体" w:cs="宋体"/>
          <w:b/>
          <w:bCs/>
          <w:sz w:val="24"/>
          <w:szCs w:val="24"/>
        </w:rPr>
        <w:t>传承人。</w:t>
      </w:r>
      <w:r>
        <w:rPr>
          <w:rFonts w:ascii="宋体" w:hAnsi="宋体" w:eastAsia="宋体" w:cs="宋体"/>
          <w:sz w:val="24"/>
          <w:szCs w:val="24"/>
        </w:rPr>
        <w:t xml:space="preserve"> 获得社会尊重和经济回报、有徒弟传承技艺、技艺不被歪曲和滥用。</w:t>
      </w:r>
    </w:p>
    <w:p w14:paraId="02F8099F">
      <w:pPr>
        <w:spacing w:after="120" w:line="360" w:lineRule="auto"/>
        <w:jc w:val="both"/>
      </w:pPr>
      <w:r>
        <w:rPr>
          <w:rFonts w:ascii="宋体" w:hAnsi="宋体" w:eastAsia="宋体" w:cs="宋体"/>
          <w:b/>
          <w:bCs/>
          <w:sz w:val="24"/>
          <w:szCs w:val="24"/>
        </w:rPr>
        <w:t>政府。</w:t>
      </w:r>
      <w:r>
        <w:rPr>
          <w:rFonts w:ascii="宋体" w:hAnsi="宋体" w:eastAsia="宋体" w:cs="宋体"/>
          <w:sz w:val="24"/>
          <w:szCs w:val="24"/>
        </w:rPr>
        <w:t xml:space="preserve"> 保护文化遗产、发展地方经济、提升城市形象、维护社会稳定。</w:t>
      </w:r>
    </w:p>
    <w:p w14:paraId="1C07CC83">
      <w:pPr>
        <w:spacing w:after="120" w:line="360" w:lineRule="auto"/>
        <w:jc w:val="both"/>
      </w:pPr>
      <w:r>
        <w:rPr>
          <w:rFonts w:ascii="宋体" w:hAnsi="宋体" w:eastAsia="宋体" w:cs="宋体"/>
          <w:b/>
          <w:bCs/>
          <w:sz w:val="24"/>
          <w:szCs w:val="24"/>
        </w:rPr>
        <w:t>旅游企业。</w:t>
      </w:r>
      <w:r>
        <w:rPr>
          <w:rFonts w:ascii="宋体" w:hAnsi="宋体" w:eastAsia="宋体" w:cs="宋体"/>
          <w:sz w:val="24"/>
          <w:szCs w:val="24"/>
        </w:rPr>
        <w:t xml:space="preserve"> 获取投资回报、扩大市场份额、降低经营风险。</w:t>
      </w:r>
    </w:p>
    <w:p w14:paraId="76EBF0C0">
      <w:pPr>
        <w:spacing w:after="120" w:line="360" w:lineRule="auto"/>
        <w:jc w:val="both"/>
      </w:pPr>
      <w:r>
        <w:rPr>
          <w:rFonts w:ascii="宋体" w:hAnsi="宋体" w:eastAsia="宋体" w:cs="宋体"/>
          <w:b/>
          <w:bCs/>
          <w:sz w:val="24"/>
          <w:szCs w:val="24"/>
        </w:rPr>
        <w:t>研究机构。</w:t>
      </w:r>
      <w:r>
        <w:rPr>
          <w:rFonts w:ascii="宋体" w:hAnsi="宋体" w:eastAsia="宋体" w:cs="宋体"/>
          <w:sz w:val="24"/>
          <w:szCs w:val="24"/>
        </w:rPr>
        <w:t xml:space="preserve"> 获取研究资料、产出学术成果、服务地方发展。</w:t>
      </w:r>
    </w:p>
    <w:p w14:paraId="5A25F000">
      <w:pPr>
        <w:spacing w:after="120" w:line="360" w:lineRule="auto"/>
        <w:jc w:val="both"/>
      </w:pPr>
      <w:r>
        <w:rPr>
          <w:rFonts w:ascii="宋体" w:hAnsi="宋体" w:eastAsia="宋体" w:cs="宋体"/>
          <w:b/>
          <w:bCs/>
          <w:sz w:val="24"/>
          <w:szCs w:val="24"/>
        </w:rPr>
        <w:t>旅游消费者。</w:t>
      </w:r>
      <w:r>
        <w:rPr>
          <w:rFonts w:ascii="宋体" w:hAnsi="宋体" w:eastAsia="宋体" w:cs="宋体"/>
          <w:sz w:val="24"/>
          <w:szCs w:val="24"/>
        </w:rPr>
        <w:t xml:space="preserve"> 获得真实的、有价值的文化体验。</w:t>
      </w:r>
    </w:p>
    <w:p w14:paraId="3277AC20">
      <w:pPr>
        <w:pStyle w:val="4"/>
        <w:spacing w:before="300" w:after="200"/>
      </w:pPr>
      <w:bookmarkStart w:id="335" w:name="_Toc25050"/>
      <w:r>
        <w:rPr>
          <w:rFonts w:ascii="黑体" w:hAnsi="黑体" w:eastAsia="黑体" w:cs="黑体"/>
          <w:b/>
          <w:bCs/>
          <w:color w:val="000000"/>
          <w:sz w:val="26"/>
          <w:szCs w:val="26"/>
        </w:rPr>
        <w:t>12.3.3 利益协调机制</w:t>
      </w:r>
      <w:bookmarkEnd w:id="335"/>
    </w:p>
    <w:p w14:paraId="058993D1">
      <w:pPr>
        <w:spacing w:after="120" w:line="360" w:lineRule="auto"/>
        <w:jc w:val="both"/>
      </w:pPr>
      <w:r>
        <w:rPr>
          <w:rFonts w:ascii="宋体" w:hAnsi="宋体" w:eastAsia="宋体" w:cs="宋体"/>
          <w:sz w:val="24"/>
          <w:szCs w:val="24"/>
        </w:rPr>
        <w:t>协调多元利益诉求需要建立制度化的协调机制：</w:t>
      </w:r>
    </w:p>
    <w:p w14:paraId="1243ACF6">
      <w:pPr>
        <w:spacing w:after="120" w:line="360" w:lineRule="auto"/>
        <w:jc w:val="both"/>
      </w:pPr>
      <w:r>
        <w:rPr>
          <w:rFonts w:ascii="宋体" w:hAnsi="宋体" w:eastAsia="宋体" w:cs="宋体"/>
          <w:b/>
          <w:bCs/>
          <w:sz w:val="24"/>
          <w:szCs w:val="24"/>
        </w:rPr>
        <w:t>社区议事机制。</w:t>
      </w:r>
      <w:r>
        <w:rPr>
          <w:rFonts w:ascii="宋体" w:hAnsi="宋体" w:eastAsia="宋体" w:cs="宋体"/>
          <w:sz w:val="24"/>
          <w:szCs w:val="24"/>
        </w:rPr>
        <w:t xml:space="preserve"> 建立村民代表大会、文化保护理事会等社区议事平台，确保社区在重大事项上的知情权和决策权。</w:t>
      </w:r>
    </w:p>
    <w:p w14:paraId="1BD708C2">
      <w:pPr>
        <w:spacing w:after="120" w:line="360" w:lineRule="auto"/>
        <w:jc w:val="both"/>
      </w:pPr>
      <w:r>
        <w:rPr>
          <w:rFonts w:ascii="宋体" w:hAnsi="宋体" w:eastAsia="宋体" w:cs="宋体"/>
          <w:b/>
          <w:bCs/>
          <w:sz w:val="24"/>
          <w:szCs w:val="24"/>
        </w:rPr>
        <w:t>多方协商机制。</w:t>
      </w:r>
      <w:r>
        <w:rPr>
          <w:rFonts w:ascii="宋体" w:hAnsi="宋体" w:eastAsia="宋体" w:cs="宋体"/>
          <w:sz w:val="24"/>
          <w:szCs w:val="24"/>
        </w:rPr>
        <w:t xml:space="preserve"> 建立由政府、社区、企业、专家组成的多方协商平台，就保护规划、旅游开发、收益分配等重大事项进行协商。</w:t>
      </w:r>
    </w:p>
    <w:p w14:paraId="2A3250C4">
      <w:pPr>
        <w:spacing w:after="120" w:line="360" w:lineRule="auto"/>
        <w:jc w:val="both"/>
      </w:pPr>
      <w:r>
        <w:rPr>
          <w:rFonts w:ascii="宋体" w:hAnsi="宋体" w:eastAsia="宋体" w:cs="宋体"/>
          <w:b/>
          <w:bCs/>
          <w:sz w:val="24"/>
          <w:szCs w:val="24"/>
        </w:rPr>
        <w:t>利益分享机制。</w:t>
      </w:r>
      <w:r>
        <w:rPr>
          <w:rFonts w:ascii="宋体" w:hAnsi="宋体" w:eastAsia="宋体" w:cs="宋体"/>
          <w:sz w:val="24"/>
          <w:szCs w:val="24"/>
        </w:rPr>
        <w:t xml:space="preserve"> 建立透明、公平的旅游收益分配制度，确保社区和传承人获得合理的利益回报。</w:t>
      </w:r>
    </w:p>
    <w:p w14:paraId="4221E585">
      <w:pPr>
        <w:spacing w:after="120" w:line="360" w:lineRule="auto"/>
        <w:jc w:val="both"/>
      </w:pPr>
      <w:r>
        <w:rPr>
          <w:rFonts w:ascii="宋体" w:hAnsi="宋体" w:eastAsia="宋体" w:cs="宋体"/>
          <w:b/>
          <w:bCs/>
          <w:sz w:val="24"/>
          <w:szCs w:val="24"/>
        </w:rPr>
        <w:t>争议解决机制。</w:t>
      </w:r>
      <w:r>
        <w:rPr>
          <w:rFonts w:ascii="宋体" w:hAnsi="宋体" w:eastAsia="宋体" w:cs="宋体"/>
          <w:sz w:val="24"/>
          <w:szCs w:val="24"/>
        </w:rPr>
        <w:t xml:space="preserve"> 建立第三方调解和仲裁机制，处理保护与开发过程中出现的争议。</w:t>
      </w:r>
    </w:p>
    <w:p w14:paraId="514B518E">
      <w:pPr>
        <w:pStyle w:val="3"/>
        <w:spacing w:before="300" w:after="200"/>
      </w:pPr>
      <w:bookmarkStart w:id="336" w:name="_Toc10167"/>
      <w:r>
        <w:rPr>
          <w:rFonts w:ascii="黑体" w:hAnsi="黑体" w:eastAsia="黑体" w:cs="黑体"/>
          <w:b/>
          <w:bCs/>
          <w:color w:val="000000"/>
          <w:sz w:val="28"/>
          <w:szCs w:val="28"/>
        </w:rPr>
        <w:t>12.4 环境保护与绿色发展</w:t>
      </w:r>
      <w:bookmarkEnd w:id="336"/>
    </w:p>
    <w:p w14:paraId="4140DE8F">
      <w:pPr>
        <w:pStyle w:val="4"/>
        <w:spacing w:before="300" w:after="200"/>
      </w:pPr>
      <w:bookmarkStart w:id="337" w:name="_Toc19776"/>
      <w:r>
        <w:rPr>
          <w:rFonts w:ascii="黑体" w:hAnsi="黑体" w:eastAsia="黑体" w:cs="黑体"/>
          <w:b/>
          <w:bCs/>
          <w:color w:val="000000"/>
          <w:sz w:val="26"/>
          <w:szCs w:val="26"/>
        </w:rPr>
        <w:t>12.4.1 旅游环境承载力</w:t>
      </w:r>
      <w:bookmarkEnd w:id="337"/>
    </w:p>
    <w:p w14:paraId="43AAD45D">
      <w:pPr>
        <w:spacing w:after="120" w:line="360" w:lineRule="auto"/>
        <w:jc w:val="both"/>
      </w:pPr>
      <w:r>
        <w:rPr>
          <w:rFonts w:ascii="宋体" w:hAnsi="宋体" w:eastAsia="宋体" w:cs="宋体"/>
          <w:sz w:val="24"/>
          <w:szCs w:val="24"/>
        </w:rPr>
        <w:t>旅游环境承载力是指在不导致环境质量下降和游客体验恶化的前提下，一个旅游地所能承载的最大游客量。</w:t>
      </w:r>
    </w:p>
    <w:p w14:paraId="6C31F50A">
      <w:pPr>
        <w:spacing w:after="120" w:line="360" w:lineRule="auto"/>
        <w:jc w:val="both"/>
      </w:pPr>
      <w:r>
        <w:rPr>
          <w:rFonts w:ascii="宋体" w:hAnsi="宋体" w:eastAsia="宋体" w:cs="宋体"/>
          <w:sz w:val="24"/>
          <w:szCs w:val="24"/>
        </w:rPr>
        <w:t>屯堡各核心村寨的旅游环境承载力差异很大。天龙屯堡旅游设施完善，日承载量约5000人次；本寨巷道狭窄，日承载量约2000人次；云山屯受地形和交通限制，日承载量约1000人次。旺季游客量超过承载力是当前面临的主要环境压力。</w:t>
      </w:r>
    </w:p>
    <w:p w14:paraId="2B22C737">
      <w:pPr>
        <w:pStyle w:val="4"/>
        <w:spacing w:before="300" w:after="200"/>
      </w:pPr>
      <w:bookmarkStart w:id="338" w:name="_Toc27834"/>
      <w:r>
        <w:rPr>
          <w:rFonts w:ascii="黑体" w:hAnsi="黑体" w:eastAsia="黑体" w:cs="黑体"/>
          <w:b/>
          <w:bCs/>
          <w:color w:val="000000"/>
          <w:sz w:val="26"/>
          <w:szCs w:val="26"/>
        </w:rPr>
        <w:t>12.4.2 绿色旅游实践</w:t>
      </w:r>
      <w:bookmarkEnd w:id="338"/>
    </w:p>
    <w:p w14:paraId="0E61E509">
      <w:pPr>
        <w:spacing w:after="120" w:line="360" w:lineRule="auto"/>
        <w:jc w:val="both"/>
      </w:pPr>
      <w:r>
        <w:rPr>
          <w:rFonts w:ascii="宋体" w:hAnsi="宋体" w:eastAsia="宋体" w:cs="宋体"/>
          <w:b/>
          <w:bCs/>
          <w:sz w:val="24"/>
          <w:szCs w:val="24"/>
        </w:rPr>
        <w:t>低碳交通。</w:t>
      </w:r>
      <w:r>
        <w:rPr>
          <w:rFonts w:ascii="宋体" w:hAnsi="宋体" w:eastAsia="宋体" w:cs="宋体"/>
          <w:sz w:val="24"/>
          <w:szCs w:val="24"/>
        </w:rPr>
        <w:t xml:space="preserve"> 在屯堡文化圈内推广电瓶车接驳、自行车租赁、徒步游览等低碳出行方式，减少机动车尾气排放。</w:t>
      </w:r>
    </w:p>
    <w:p w14:paraId="6547842E">
      <w:pPr>
        <w:spacing w:after="120" w:line="360" w:lineRule="auto"/>
        <w:jc w:val="both"/>
      </w:pPr>
      <w:r>
        <w:rPr>
          <w:rFonts w:ascii="宋体" w:hAnsi="宋体" w:eastAsia="宋体" w:cs="宋体"/>
          <w:b/>
          <w:bCs/>
          <w:sz w:val="24"/>
          <w:szCs w:val="24"/>
        </w:rPr>
        <w:t>绿色建筑。</w:t>
      </w:r>
      <w:r>
        <w:rPr>
          <w:rFonts w:ascii="宋体" w:hAnsi="宋体" w:eastAsia="宋体" w:cs="宋体"/>
          <w:sz w:val="24"/>
          <w:szCs w:val="24"/>
        </w:rPr>
        <w:t xml:space="preserve"> 古建筑修缮和老宅改造采用传统材料和工艺，新建旅游服务设施采用绿色建筑标准。</w:t>
      </w:r>
    </w:p>
    <w:p w14:paraId="1D7BED77">
      <w:pPr>
        <w:spacing w:after="120" w:line="360" w:lineRule="auto"/>
        <w:jc w:val="both"/>
      </w:pPr>
      <w:r>
        <w:rPr>
          <w:rFonts w:ascii="宋体" w:hAnsi="宋体" w:eastAsia="宋体" w:cs="宋体"/>
          <w:b/>
          <w:bCs/>
          <w:sz w:val="24"/>
          <w:szCs w:val="24"/>
        </w:rPr>
        <w:t>垃圾分类与减量。</w:t>
      </w:r>
      <w:r>
        <w:rPr>
          <w:rFonts w:ascii="宋体" w:hAnsi="宋体" w:eastAsia="宋体" w:cs="宋体"/>
          <w:sz w:val="24"/>
          <w:szCs w:val="24"/>
        </w:rPr>
        <w:t xml:space="preserve"> 在景区推行垃圾分类，减少一次性塑料制品的使用，鼓励游客"自带垃圾出村"。</w:t>
      </w:r>
    </w:p>
    <w:p w14:paraId="12B70E72">
      <w:pPr>
        <w:spacing w:after="120" w:line="360" w:lineRule="auto"/>
        <w:jc w:val="both"/>
      </w:pPr>
      <w:r>
        <w:rPr>
          <w:rFonts w:ascii="宋体" w:hAnsi="宋体" w:eastAsia="宋体" w:cs="宋体"/>
          <w:b/>
          <w:bCs/>
          <w:sz w:val="24"/>
          <w:szCs w:val="24"/>
        </w:rPr>
        <w:t>生态农业。</w:t>
      </w:r>
      <w:r>
        <w:rPr>
          <w:rFonts w:ascii="宋体" w:hAnsi="宋体" w:eastAsia="宋体" w:cs="宋体"/>
          <w:sz w:val="24"/>
          <w:szCs w:val="24"/>
        </w:rPr>
        <w:t xml:space="preserve"> 鲍家屯等村寨推广生态农业，减少化肥农药使用，保护古水利系统的水质。</w:t>
      </w:r>
    </w:p>
    <w:p w14:paraId="19B8013C">
      <w:pPr>
        <w:pStyle w:val="4"/>
        <w:spacing w:before="300" w:after="200"/>
      </w:pPr>
      <w:bookmarkStart w:id="339" w:name="_Toc15807"/>
      <w:r>
        <w:rPr>
          <w:rFonts w:ascii="黑体" w:hAnsi="黑体" w:eastAsia="黑体" w:cs="黑体"/>
          <w:b/>
          <w:bCs/>
          <w:color w:val="000000"/>
          <w:sz w:val="26"/>
          <w:szCs w:val="26"/>
        </w:rPr>
        <w:t>12.4.3 气候变化应对</w:t>
      </w:r>
      <w:bookmarkEnd w:id="339"/>
    </w:p>
    <w:p w14:paraId="2153912B">
      <w:pPr>
        <w:spacing w:after="120" w:line="360" w:lineRule="auto"/>
        <w:jc w:val="both"/>
      </w:pPr>
      <w:r>
        <w:rPr>
          <w:rFonts w:ascii="宋体" w:hAnsi="宋体" w:eastAsia="宋体" w:cs="宋体"/>
          <w:sz w:val="24"/>
          <w:szCs w:val="24"/>
        </w:rPr>
        <w:t>气候变化对屯堡文化遗产构成了日益严峻的威胁。黔中地区极端降雨事件的频率和强度呈上升趋势，对石木结构建筑的防水和排水提出了更高的要求。高温热浪加速了木材的老化和石材的风化。</w:t>
      </w:r>
    </w:p>
    <w:p w14:paraId="129125E1">
      <w:pPr>
        <w:spacing w:after="120" w:line="360" w:lineRule="auto"/>
        <w:jc w:val="both"/>
      </w:pPr>
      <w:r>
        <w:rPr>
          <w:rFonts w:ascii="宋体" w:hAnsi="宋体" w:eastAsia="宋体" w:cs="宋体"/>
          <w:sz w:val="24"/>
          <w:szCs w:val="24"/>
        </w:rPr>
        <w:t>应对策略包括：加强古建筑的排水系统和防水处理；在建筑数字孪生系统中加入气候监测模块，实时预警极端天气；制定文化遗产应对气候变化的应急预案；将气候适应纳入文化遗产保护的长期规划。</w:t>
      </w:r>
    </w:p>
    <w:p w14:paraId="23047B65">
      <w:pPr>
        <w:pStyle w:val="3"/>
        <w:spacing w:before="300" w:after="200"/>
      </w:pPr>
      <w:bookmarkStart w:id="340" w:name="_Toc23876"/>
      <w:r>
        <w:rPr>
          <w:rFonts w:ascii="黑体" w:hAnsi="黑体" w:eastAsia="黑体" w:cs="黑体"/>
          <w:b/>
          <w:bCs/>
          <w:color w:val="000000"/>
          <w:sz w:val="28"/>
          <w:szCs w:val="28"/>
        </w:rPr>
        <w:t>12.5 面向未来的战略思考</w:t>
      </w:r>
      <w:bookmarkEnd w:id="340"/>
    </w:p>
    <w:p w14:paraId="6C496E7A">
      <w:pPr>
        <w:pStyle w:val="4"/>
        <w:spacing w:before="300" w:after="200"/>
      </w:pPr>
      <w:bookmarkStart w:id="341" w:name="_Toc9254"/>
      <w:r>
        <w:rPr>
          <w:rFonts w:ascii="黑体" w:hAnsi="黑体" w:eastAsia="黑体" w:cs="黑体"/>
          <w:b/>
          <w:bCs/>
          <w:color w:val="000000"/>
          <w:sz w:val="26"/>
          <w:szCs w:val="26"/>
        </w:rPr>
        <w:t>12.5.1 从"保护"到"赋能"</w:t>
      </w:r>
      <w:bookmarkEnd w:id="341"/>
    </w:p>
    <w:p w14:paraId="0F277C6B">
      <w:pPr>
        <w:spacing w:after="120" w:line="360" w:lineRule="auto"/>
        <w:jc w:val="both"/>
      </w:pPr>
      <w:r>
        <w:rPr>
          <w:rFonts w:ascii="宋体" w:hAnsi="宋体" w:eastAsia="宋体" w:cs="宋体"/>
          <w:sz w:val="24"/>
          <w:szCs w:val="24"/>
        </w:rPr>
        <w:t>文化遗产保护的范式正在从"保护"（保护文化遗产免受破坏）转向"赋能"（赋予文化遗产自我更新的能力）。对于屯堡文化而言，赋能意味着：赋能社区——让社区有能力自主管理文化资源；赋能传承人——让传承人有条件、有动力传承和创新技艺；赋能数字平台——让数字技术成为文化传承的倍增器而非替代品。</w:t>
      </w:r>
    </w:p>
    <w:p w14:paraId="6E8BC596">
      <w:pPr>
        <w:pStyle w:val="4"/>
        <w:spacing w:before="300" w:after="200"/>
      </w:pPr>
      <w:bookmarkStart w:id="342" w:name="_Toc1954"/>
      <w:r>
        <w:rPr>
          <w:rFonts w:ascii="黑体" w:hAnsi="黑体" w:eastAsia="黑体" w:cs="黑体"/>
          <w:b/>
          <w:bCs/>
          <w:color w:val="000000"/>
          <w:sz w:val="26"/>
          <w:szCs w:val="26"/>
        </w:rPr>
        <w:t>12.5.2 代际传承</w:t>
      </w:r>
      <w:bookmarkEnd w:id="342"/>
    </w:p>
    <w:p w14:paraId="3B5449B8">
      <w:pPr>
        <w:spacing w:after="120" w:line="360" w:lineRule="auto"/>
        <w:jc w:val="both"/>
      </w:pPr>
      <w:r>
        <w:rPr>
          <w:rFonts w:ascii="宋体" w:hAnsi="宋体" w:eastAsia="宋体" w:cs="宋体"/>
          <w:sz w:val="24"/>
          <w:szCs w:val="24"/>
        </w:rPr>
        <w:t>屯堡文化的最大挑战不是建筑的破损或技艺的失传，而是年轻人"不想传承"。当一位屯堡青年觉得穿凤阳汉装"土"、唱地戏"没前途"时，再多的保护资金和技术手段也无济于事。</w:t>
      </w:r>
    </w:p>
    <w:p w14:paraId="533F31DE">
      <w:pPr>
        <w:spacing w:after="120" w:line="360" w:lineRule="auto"/>
        <w:jc w:val="both"/>
      </w:pPr>
      <w:r>
        <w:rPr>
          <w:rFonts w:ascii="宋体" w:hAnsi="宋体" w:eastAsia="宋体" w:cs="宋体"/>
          <w:sz w:val="24"/>
          <w:szCs w:val="24"/>
        </w:rPr>
        <w:t>代际传承的关键是让年轻人从传统文化中看到价值——不仅是文化价值，还有经济价值和社会价值。文创产业的兴起让年轻人看到了"传统也可以很潮"，研学旅游的发展让年轻人看到了"传承也可以有体面的收入"，新媒体传播让年轻人看到了"自己的文化也可以被世界看见"。</w:t>
      </w:r>
    </w:p>
    <w:p w14:paraId="2F045067">
      <w:pPr>
        <w:pStyle w:val="4"/>
        <w:spacing w:before="300" w:after="200"/>
      </w:pPr>
      <w:bookmarkStart w:id="343" w:name="_Toc31608"/>
      <w:r>
        <w:rPr>
          <w:rFonts w:ascii="黑体" w:hAnsi="黑体" w:eastAsia="黑体" w:cs="黑体"/>
          <w:b/>
          <w:bCs/>
          <w:color w:val="000000"/>
          <w:sz w:val="26"/>
          <w:szCs w:val="26"/>
        </w:rPr>
        <w:t>12.5.3 开放与坚守</w:t>
      </w:r>
      <w:bookmarkEnd w:id="343"/>
    </w:p>
    <w:p w14:paraId="3A75CC4E">
      <w:pPr>
        <w:spacing w:after="120" w:line="360" w:lineRule="auto"/>
        <w:jc w:val="both"/>
      </w:pPr>
      <w:r>
        <w:rPr>
          <w:rFonts w:ascii="宋体" w:hAnsi="宋体" w:eastAsia="宋体" w:cs="宋体"/>
          <w:sz w:val="24"/>
          <w:szCs w:val="24"/>
        </w:rPr>
        <w:t>屯堡文化在未来的可持续发展，需要在"开放"与"坚守"之间找到动态平衡。开放意味着接纳游客、拥抱技术、吸收新的文化元素；坚守意味着维护核心价值、保持文化特质、拒绝歪曲和滥用。</w:t>
      </w:r>
    </w:p>
    <w:p w14:paraId="3992D762">
      <w:pPr>
        <w:spacing w:after="120" w:line="360" w:lineRule="auto"/>
        <w:jc w:val="both"/>
      </w:pPr>
      <w:r>
        <w:rPr>
          <w:rFonts w:ascii="宋体" w:hAnsi="宋体" w:eastAsia="宋体" w:cs="宋体"/>
          <w:sz w:val="24"/>
          <w:szCs w:val="24"/>
        </w:rPr>
        <w:t>六百年前，屯堡人的祖先在黔中深山里坚守汉文化的同时，也吸收了当地少数民族的文化元素。这种"在坚守中开放、在开放中坚守"的文化智慧，正是屯堡文化穿越六百年时光而不衰的内在力量。</w:t>
      </w:r>
    </w:p>
    <w:p w14:paraId="2C24EFCA">
      <w:pPr>
        <w:pStyle w:val="3"/>
        <w:spacing w:before="300" w:after="200"/>
      </w:pPr>
      <w:bookmarkStart w:id="344" w:name="_Toc12552"/>
      <w:r>
        <w:rPr>
          <w:rFonts w:ascii="黑体" w:hAnsi="黑体" w:eastAsia="黑体" w:cs="黑体"/>
          <w:b/>
          <w:bCs/>
          <w:color w:val="000000"/>
          <w:sz w:val="28"/>
          <w:szCs w:val="28"/>
        </w:rPr>
        <w:t>本章小结</w:t>
      </w:r>
      <w:bookmarkEnd w:id="344"/>
    </w:p>
    <w:p w14:paraId="5B5D9E26">
      <w:pPr>
        <w:spacing w:after="120" w:line="360" w:lineRule="auto"/>
        <w:jc w:val="both"/>
      </w:pPr>
      <w:r>
        <w:rPr>
          <w:rFonts w:ascii="宋体" w:hAnsi="宋体" w:eastAsia="宋体" w:cs="宋体"/>
          <w:sz w:val="24"/>
          <w:szCs w:val="24"/>
        </w:rPr>
        <w:t>文化遗产的可持续发展涵盖文化、经济、社会和环境四个维度，需要在保护与利用之间找到动态平衡。社区参与是可持续发展的核心，参与深度从信息告知到社区主导不等，屯堡各村寨探索了不同的参与模式。利益相关者多元化的诉求需要通过制度化的协商和分享机制来协调。旅游环境承载力管理和气候变化应对是环境保护的紧迫课题。面向未来，屯堡文化需要从"保护"转向"赋能"，在代际传承中吸引年轻人，在开放与坚守之间保持文化生命力。</w:t>
      </w:r>
    </w:p>
    <w:p w14:paraId="2B7A68EE">
      <w:pPr>
        <w:pStyle w:val="3"/>
        <w:spacing w:before="300" w:after="200"/>
      </w:pPr>
      <w:bookmarkStart w:id="345" w:name="_Toc22867"/>
      <w:r>
        <w:rPr>
          <w:rFonts w:ascii="黑体" w:hAnsi="黑体" w:eastAsia="黑体" w:cs="黑体"/>
          <w:b/>
          <w:bCs/>
          <w:color w:val="000000"/>
          <w:sz w:val="28"/>
          <w:szCs w:val="28"/>
        </w:rPr>
        <w:t>思考与练习</w:t>
      </w:r>
      <w:bookmarkEnd w:id="345"/>
    </w:p>
    <w:p w14:paraId="6D1919B7">
      <w:pPr>
        <w:pStyle w:val="19"/>
        <w:numPr>
          <w:ilvl w:val="0"/>
          <w:numId w:val="2"/>
        </w:numPr>
        <w:spacing w:after="60" w:line="340" w:lineRule="auto"/>
      </w:pPr>
      <w:r>
        <w:rPr>
          <w:rFonts w:ascii="宋体" w:hAnsi="宋体" w:eastAsia="宋体" w:cs="宋体"/>
          <w:sz w:val="24"/>
          <w:szCs w:val="24"/>
        </w:rPr>
        <w:t>运用Arnstein的参与阶梯理论，分析你所在社区（或一个你熟悉的案例）中的公众参与水平。</w:t>
      </w:r>
    </w:p>
    <w:p w14:paraId="7B0F8C9B">
      <w:pPr>
        <w:pStyle w:val="19"/>
        <w:numPr>
          <w:ilvl w:val="0"/>
          <w:numId w:val="2"/>
        </w:numPr>
        <w:spacing w:after="60" w:line="340" w:lineRule="auto"/>
      </w:pPr>
      <w:r>
        <w:rPr>
          <w:rFonts w:ascii="宋体" w:hAnsi="宋体" w:eastAsia="宋体" w:cs="宋体"/>
          <w:sz w:val="24"/>
          <w:szCs w:val="24"/>
        </w:rPr>
        <w:t>为本寨设计一份旅游收益分配方案。</w:t>
      </w:r>
    </w:p>
    <w:p w14:paraId="0BE1819E">
      <w:pPr>
        <w:pStyle w:val="19"/>
        <w:numPr>
          <w:ilvl w:val="0"/>
          <w:numId w:val="2"/>
        </w:numPr>
        <w:spacing w:after="60" w:line="340" w:lineRule="auto"/>
      </w:pPr>
      <w:r>
        <w:rPr>
          <w:rFonts w:ascii="宋体" w:hAnsi="宋体" w:eastAsia="宋体" w:cs="宋体"/>
          <w:sz w:val="24"/>
          <w:szCs w:val="24"/>
        </w:rPr>
        <w:t>评估气候变化对屯堡石木结构建筑的潜在影响，提出适应性措施。</w:t>
      </w:r>
    </w:p>
    <w:p w14:paraId="3E70CB1C">
      <w:pPr>
        <w:pStyle w:val="19"/>
        <w:numPr>
          <w:ilvl w:val="0"/>
          <w:numId w:val="2"/>
        </w:numPr>
        <w:spacing w:after="60" w:line="340" w:lineRule="auto"/>
      </w:pPr>
      <w:r>
        <w:rPr>
          <w:rFonts w:ascii="宋体" w:hAnsi="宋体" w:eastAsia="宋体" w:cs="宋体"/>
          <w:sz w:val="24"/>
          <w:szCs w:val="24"/>
        </w:rPr>
        <w:t>讨论：如何让更多屯堡年轻人愿意传承传统文化？</w:t>
      </w:r>
    </w:p>
    <w:p w14:paraId="1FC19393">
      <w:pPr>
        <w:pStyle w:val="19"/>
        <w:numPr>
          <w:ilvl w:val="0"/>
          <w:numId w:val="2"/>
        </w:numPr>
        <w:spacing w:after="60" w:line="340" w:lineRule="auto"/>
      </w:pPr>
      <w:r>
        <w:rPr>
          <w:rFonts w:ascii="宋体" w:hAnsi="宋体" w:eastAsia="宋体" w:cs="宋体"/>
          <w:sz w:val="24"/>
          <w:szCs w:val="24"/>
        </w:rPr>
        <w:t>以屯堡文化为例，写一篇关于"文化遗产的韧性"的短文。</w:t>
      </w:r>
    </w:p>
    <w:p w14:paraId="16F00552">
      <w:pPr>
        <w:pStyle w:val="3"/>
        <w:spacing w:before="300" w:after="200"/>
      </w:pPr>
      <w:bookmarkStart w:id="346" w:name="_Toc20718"/>
      <w:r>
        <w:rPr>
          <w:rFonts w:ascii="黑体" w:hAnsi="黑体" w:eastAsia="黑体" w:cs="黑体"/>
          <w:b/>
          <w:bCs/>
          <w:color w:val="000000"/>
          <w:sz w:val="28"/>
          <w:szCs w:val="28"/>
        </w:rPr>
        <w:t>知识卡片：社区参与层次</w:t>
      </w:r>
      <w:bookmarkEnd w:id="346"/>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2E968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8DA27D2">
            <w:pPr>
              <w:spacing w:after="0"/>
            </w:pPr>
            <w:r>
              <w:rPr>
                <w:rFonts w:ascii="宋体" w:hAnsi="宋体" w:eastAsia="宋体" w:cs="宋体"/>
                <w:b/>
                <w:bCs/>
                <w:color w:val="FFFFFF"/>
                <w:sz w:val="20"/>
                <w:szCs w:val="20"/>
              </w:rPr>
              <w:t>层次</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D64AAEE">
            <w:pPr>
              <w:spacing w:after="0"/>
            </w:pPr>
            <w:r>
              <w:rPr>
                <w:rFonts w:ascii="宋体" w:hAnsi="宋体" w:eastAsia="宋体" w:cs="宋体"/>
                <w:b/>
                <w:bCs/>
                <w:color w:val="FFFFFF"/>
                <w:sz w:val="20"/>
                <w:szCs w:val="20"/>
              </w:rPr>
              <w:t>特征</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73626C8">
            <w:pPr>
              <w:spacing w:after="0"/>
            </w:pPr>
            <w:r>
              <w:rPr>
                <w:rFonts w:ascii="宋体" w:hAnsi="宋体" w:eastAsia="宋体" w:cs="宋体"/>
                <w:b/>
                <w:bCs/>
                <w:color w:val="FFFFFF"/>
                <w:sz w:val="20"/>
                <w:szCs w:val="20"/>
              </w:rPr>
              <w:t>社区角色</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04476AF">
            <w:pPr>
              <w:spacing w:after="0"/>
            </w:pPr>
            <w:r>
              <w:rPr>
                <w:rFonts w:ascii="宋体" w:hAnsi="宋体" w:eastAsia="宋体" w:cs="宋体"/>
                <w:b/>
                <w:bCs/>
                <w:color w:val="FFFFFF"/>
                <w:sz w:val="20"/>
                <w:szCs w:val="20"/>
              </w:rPr>
              <w:t>外部角色</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B03D09B">
            <w:pPr>
              <w:spacing w:after="0"/>
            </w:pPr>
            <w:r>
              <w:rPr>
                <w:rFonts w:ascii="宋体" w:hAnsi="宋体" w:eastAsia="宋体" w:cs="宋体"/>
                <w:b/>
                <w:bCs/>
                <w:color w:val="FFFFFF"/>
                <w:sz w:val="20"/>
                <w:szCs w:val="20"/>
              </w:rPr>
              <w:t>屯堡案例</w:t>
            </w:r>
          </w:p>
        </w:tc>
      </w:tr>
      <w:tr w14:paraId="7EEAF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C2FDE59">
            <w:pPr>
              <w:spacing w:after="0"/>
            </w:pPr>
            <w:r>
              <w:rPr>
                <w:rFonts w:ascii="宋体" w:hAnsi="宋体" w:eastAsia="宋体" w:cs="宋体"/>
                <w:sz w:val="20"/>
                <w:szCs w:val="20"/>
              </w:rPr>
              <w:t>信息告知</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D532F0">
            <w:pPr>
              <w:spacing w:after="0"/>
            </w:pPr>
            <w:r>
              <w:rPr>
                <w:rFonts w:ascii="宋体" w:hAnsi="宋体" w:eastAsia="宋体" w:cs="宋体"/>
                <w:sz w:val="20"/>
                <w:szCs w:val="20"/>
              </w:rPr>
              <w:t>社区被动接收信息</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8CBB27D">
            <w:pPr>
              <w:spacing w:after="0"/>
            </w:pPr>
            <w:r>
              <w:rPr>
                <w:rFonts w:ascii="宋体" w:hAnsi="宋体" w:eastAsia="宋体" w:cs="宋体"/>
                <w:sz w:val="20"/>
                <w:szCs w:val="20"/>
              </w:rPr>
              <w:t>听众</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80FAD2">
            <w:pPr>
              <w:spacing w:after="0"/>
            </w:pPr>
            <w:r>
              <w:rPr>
                <w:rFonts w:ascii="宋体" w:hAnsi="宋体" w:eastAsia="宋体" w:cs="宋体"/>
                <w:sz w:val="20"/>
                <w:szCs w:val="20"/>
              </w:rPr>
              <w:t>主导者</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FFA747">
            <w:pPr>
              <w:spacing w:after="0"/>
            </w:pPr>
            <w:r>
              <w:rPr>
                <w:rFonts w:ascii="宋体" w:hAnsi="宋体" w:eastAsia="宋体" w:cs="宋体"/>
                <w:sz w:val="20"/>
                <w:szCs w:val="20"/>
              </w:rPr>
              <w:t>政府张贴保护通告</w:t>
            </w:r>
          </w:p>
        </w:tc>
      </w:tr>
      <w:tr w14:paraId="4ECF9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EA0612">
            <w:pPr>
              <w:spacing w:after="0"/>
            </w:pPr>
            <w:r>
              <w:rPr>
                <w:rFonts w:ascii="宋体" w:hAnsi="宋体" w:eastAsia="宋体" w:cs="宋体"/>
                <w:sz w:val="20"/>
                <w:szCs w:val="20"/>
              </w:rPr>
              <w:t>意见征询</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816816">
            <w:pPr>
              <w:spacing w:after="0"/>
            </w:pPr>
            <w:r>
              <w:rPr>
                <w:rFonts w:ascii="宋体" w:hAnsi="宋体" w:eastAsia="宋体" w:cs="宋体"/>
                <w:sz w:val="20"/>
                <w:szCs w:val="20"/>
              </w:rPr>
              <w:t>社区意见被听取</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05D4CE">
            <w:pPr>
              <w:spacing w:after="0"/>
            </w:pPr>
            <w:r>
              <w:rPr>
                <w:rFonts w:ascii="宋体" w:hAnsi="宋体" w:eastAsia="宋体" w:cs="宋体"/>
                <w:sz w:val="20"/>
                <w:szCs w:val="20"/>
              </w:rPr>
              <w:t>顾问</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FE24FF">
            <w:pPr>
              <w:spacing w:after="0"/>
            </w:pPr>
            <w:r>
              <w:rPr>
                <w:rFonts w:ascii="宋体" w:hAnsi="宋体" w:eastAsia="宋体" w:cs="宋体"/>
                <w:sz w:val="20"/>
                <w:szCs w:val="20"/>
              </w:rPr>
              <w:t>决策者</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1DB2BC">
            <w:pPr>
              <w:spacing w:after="0"/>
            </w:pPr>
            <w:r>
              <w:rPr>
                <w:rFonts w:ascii="宋体" w:hAnsi="宋体" w:eastAsia="宋体" w:cs="宋体"/>
                <w:sz w:val="20"/>
                <w:szCs w:val="20"/>
              </w:rPr>
              <w:t>保护规划征求意见会</w:t>
            </w:r>
          </w:p>
        </w:tc>
      </w:tr>
      <w:tr w14:paraId="084FC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553515">
            <w:pPr>
              <w:spacing w:after="0"/>
            </w:pPr>
            <w:r>
              <w:rPr>
                <w:rFonts w:ascii="宋体" w:hAnsi="宋体" w:eastAsia="宋体" w:cs="宋体"/>
                <w:sz w:val="20"/>
                <w:szCs w:val="20"/>
              </w:rPr>
              <w:t>协商合作</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260B01">
            <w:pPr>
              <w:spacing w:after="0"/>
            </w:pPr>
            <w:r>
              <w:rPr>
                <w:rFonts w:ascii="宋体" w:hAnsi="宋体" w:eastAsia="宋体" w:cs="宋体"/>
                <w:sz w:val="20"/>
                <w:szCs w:val="20"/>
              </w:rPr>
              <w:t>社区与外部协商</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E0B973">
            <w:pPr>
              <w:spacing w:after="0"/>
            </w:pPr>
            <w:r>
              <w:rPr>
                <w:rFonts w:ascii="宋体" w:hAnsi="宋体" w:eastAsia="宋体" w:cs="宋体"/>
                <w:sz w:val="20"/>
                <w:szCs w:val="20"/>
              </w:rPr>
              <w:t>协商方</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A09F96">
            <w:pPr>
              <w:spacing w:after="0"/>
            </w:pPr>
            <w:r>
              <w:rPr>
                <w:rFonts w:ascii="宋体" w:hAnsi="宋体" w:eastAsia="宋体" w:cs="宋体"/>
                <w:sz w:val="20"/>
                <w:szCs w:val="20"/>
              </w:rPr>
              <w:t>协商方</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5122A5">
            <w:pPr>
              <w:spacing w:after="0"/>
            </w:pPr>
            <w:r>
              <w:rPr>
                <w:rFonts w:ascii="宋体" w:hAnsi="宋体" w:eastAsia="宋体" w:cs="宋体"/>
                <w:sz w:val="20"/>
                <w:szCs w:val="20"/>
              </w:rPr>
              <w:t>本寨与研学机构合作</w:t>
            </w:r>
          </w:p>
        </w:tc>
      </w:tr>
      <w:tr w14:paraId="3AC06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952285">
            <w:pPr>
              <w:spacing w:after="0"/>
            </w:pPr>
            <w:r>
              <w:rPr>
                <w:rFonts w:ascii="宋体" w:hAnsi="宋体" w:eastAsia="宋体" w:cs="宋体"/>
                <w:sz w:val="20"/>
                <w:szCs w:val="20"/>
              </w:rPr>
              <w:t>共同决策</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593090">
            <w:pPr>
              <w:spacing w:after="0"/>
            </w:pPr>
            <w:r>
              <w:rPr>
                <w:rFonts w:ascii="宋体" w:hAnsi="宋体" w:eastAsia="宋体" w:cs="宋体"/>
                <w:sz w:val="20"/>
                <w:szCs w:val="20"/>
              </w:rPr>
              <w:t>社区有表决权</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D7EECF">
            <w:pPr>
              <w:spacing w:after="0"/>
            </w:pPr>
            <w:r>
              <w:rPr>
                <w:rFonts w:ascii="宋体" w:hAnsi="宋体" w:eastAsia="宋体" w:cs="宋体"/>
                <w:sz w:val="20"/>
                <w:szCs w:val="20"/>
              </w:rPr>
              <w:t>决策参与者</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20BB5F">
            <w:pPr>
              <w:spacing w:after="0"/>
            </w:pPr>
            <w:r>
              <w:rPr>
                <w:rFonts w:ascii="宋体" w:hAnsi="宋体" w:eastAsia="宋体" w:cs="宋体"/>
                <w:sz w:val="20"/>
                <w:szCs w:val="20"/>
              </w:rPr>
              <w:t>决策参与者</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EFA0CB">
            <w:pPr>
              <w:spacing w:after="0"/>
            </w:pPr>
            <w:r>
              <w:rPr>
                <w:rFonts w:ascii="宋体" w:hAnsi="宋体" w:eastAsia="宋体" w:cs="宋体"/>
                <w:sz w:val="20"/>
                <w:szCs w:val="20"/>
              </w:rPr>
              <w:t>村民代表大会投票</w:t>
            </w:r>
          </w:p>
        </w:tc>
      </w:tr>
      <w:tr w14:paraId="6B1C7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17C12B5">
            <w:pPr>
              <w:spacing w:after="0"/>
            </w:pPr>
            <w:r>
              <w:rPr>
                <w:rFonts w:ascii="宋体" w:hAnsi="宋体" w:eastAsia="宋体" w:cs="宋体"/>
                <w:sz w:val="20"/>
                <w:szCs w:val="20"/>
              </w:rPr>
              <w:t>社区主导</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A26619">
            <w:pPr>
              <w:spacing w:after="0"/>
            </w:pPr>
            <w:r>
              <w:rPr>
                <w:rFonts w:ascii="宋体" w:hAnsi="宋体" w:eastAsia="宋体" w:cs="宋体"/>
                <w:sz w:val="20"/>
                <w:szCs w:val="20"/>
              </w:rPr>
              <w:t>社区自主决策和管理</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A01BD95">
            <w:pPr>
              <w:spacing w:after="0"/>
            </w:pPr>
            <w:r>
              <w:rPr>
                <w:rFonts w:ascii="宋体" w:hAnsi="宋体" w:eastAsia="宋体" w:cs="宋体"/>
                <w:sz w:val="20"/>
                <w:szCs w:val="20"/>
              </w:rPr>
              <w:t>主导者</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09BD71">
            <w:pPr>
              <w:spacing w:after="0"/>
            </w:pPr>
            <w:r>
              <w:rPr>
                <w:rFonts w:ascii="宋体" w:hAnsi="宋体" w:eastAsia="宋体" w:cs="宋体"/>
                <w:sz w:val="20"/>
                <w:szCs w:val="20"/>
              </w:rPr>
              <w:t>支持者</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BEC789">
            <w:pPr>
              <w:spacing w:after="0"/>
            </w:pPr>
            <w:r>
              <w:rPr>
                <w:rFonts w:ascii="宋体" w:hAnsi="宋体" w:eastAsia="宋体" w:cs="宋体"/>
                <w:sz w:val="20"/>
                <w:szCs w:val="20"/>
              </w:rPr>
              <w:t>本寨村集体旅游合作社</w:t>
            </w:r>
          </w:p>
        </w:tc>
      </w:tr>
    </w:tbl>
    <w:p w14:paraId="049EB264">
      <w:r>
        <w:br w:type="page"/>
      </w:r>
    </w:p>
    <w:p w14:paraId="20CC201F">
      <w:pPr>
        <w:pStyle w:val="2"/>
        <w:spacing w:before="600" w:after="400"/>
        <w:jc w:val="center"/>
      </w:pPr>
      <w:bookmarkStart w:id="347" w:name="_Toc30297"/>
      <w:r>
        <w:rPr>
          <w:rFonts w:ascii="黑体" w:hAnsi="黑体" w:eastAsia="黑体" w:cs="黑体"/>
          <w:b/>
          <w:bCs/>
          <w:color w:val="1F4E79"/>
          <w:sz w:val="40"/>
          <w:szCs w:val="40"/>
        </w:rPr>
        <w:t>附  录</w:t>
      </w:r>
      <w:bookmarkEnd w:id="347"/>
    </w:p>
    <w:p w14:paraId="7A3BC2B5">
      <w:pPr>
        <w:pStyle w:val="2"/>
        <w:spacing w:before="400" w:after="200"/>
      </w:pPr>
      <w:bookmarkStart w:id="348" w:name="_Toc2131"/>
      <w:r>
        <w:rPr>
          <w:rFonts w:ascii="黑体" w:hAnsi="黑体" w:eastAsia="黑体" w:cs="黑体"/>
          <w:b/>
          <w:bCs/>
          <w:color w:val="1F4E79"/>
          <w:sz w:val="32"/>
          <w:szCs w:val="32"/>
        </w:rPr>
        <w:t>附录A 屯堡文化术语表</w:t>
      </w:r>
      <w:bookmarkEnd w:id="348"/>
    </w:p>
    <w:p w14:paraId="02E2CAD9">
      <w:pPr>
        <w:pStyle w:val="3"/>
        <w:spacing w:before="300" w:after="200"/>
      </w:pPr>
      <w:bookmarkStart w:id="349" w:name="_Toc5865"/>
      <w:r>
        <w:rPr>
          <w:rFonts w:ascii="黑体" w:hAnsi="黑体" w:eastAsia="黑体" w:cs="黑体"/>
          <w:b/>
          <w:bCs/>
          <w:color w:val="000000"/>
          <w:sz w:val="28"/>
          <w:szCs w:val="28"/>
        </w:rPr>
        <w:t>A.1 历史与制度</w:t>
      </w:r>
      <w:bookmarkEnd w:id="34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189F5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5EB4C92">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09CD64D">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9D32D41">
            <w:pPr>
              <w:spacing w:after="0"/>
            </w:pPr>
            <w:r>
              <w:rPr>
                <w:rFonts w:ascii="宋体" w:hAnsi="宋体" w:eastAsia="宋体" w:cs="宋体"/>
                <w:b/>
                <w:bCs/>
                <w:color w:val="FFFFFF"/>
                <w:sz w:val="20"/>
                <w:szCs w:val="20"/>
              </w:rPr>
              <w:t>释义</w:t>
            </w:r>
          </w:p>
        </w:tc>
      </w:tr>
      <w:tr w14:paraId="1DD06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F1BEE2">
            <w:pPr>
              <w:spacing w:after="0"/>
            </w:pPr>
            <w:r>
              <w:rPr>
                <w:rFonts w:ascii="宋体" w:hAnsi="宋体" w:eastAsia="宋体" w:cs="宋体"/>
                <w:sz w:val="20"/>
                <w:szCs w:val="20"/>
              </w:rPr>
              <w:t>调北征南</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7CB8A5">
            <w:pPr>
              <w:spacing w:after="0"/>
            </w:pPr>
            <w:r>
              <w:rPr>
                <w:rFonts w:ascii="宋体" w:hAnsi="宋体" w:eastAsia="宋体" w:cs="宋体"/>
                <w:sz w:val="20"/>
                <w:szCs w:val="20"/>
              </w:rPr>
              <w:t>Northern Expedition to the South</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DD1A6B">
            <w:pPr>
              <w:spacing w:after="0"/>
            </w:pPr>
            <w:r>
              <w:rPr>
                <w:rFonts w:ascii="宋体" w:hAnsi="宋体" w:eastAsia="宋体" w:cs="宋体"/>
                <w:sz w:val="20"/>
                <w:szCs w:val="20"/>
              </w:rPr>
              <w:t>明洪武十四年（1381年），朱元璋派三十万大军征讨云南的军事行动，是屯堡形成的直接原因</w:t>
            </w:r>
          </w:p>
        </w:tc>
      </w:tr>
      <w:tr w14:paraId="1E7BE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45EB545">
            <w:pPr>
              <w:spacing w:after="0"/>
            </w:pPr>
            <w:r>
              <w:rPr>
                <w:rFonts w:ascii="宋体" w:hAnsi="宋体" w:eastAsia="宋体" w:cs="宋体"/>
                <w:sz w:val="20"/>
                <w:szCs w:val="20"/>
              </w:rPr>
              <w:t>卫所制度</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94EB911">
            <w:pPr>
              <w:spacing w:after="0"/>
            </w:pPr>
            <w:r>
              <w:rPr>
                <w:rFonts w:ascii="宋体" w:hAnsi="宋体" w:eastAsia="宋体" w:cs="宋体"/>
                <w:sz w:val="20"/>
                <w:szCs w:val="20"/>
              </w:rPr>
              <w:t>Wei-suo System</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B4C303">
            <w:pPr>
              <w:spacing w:after="0"/>
            </w:pPr>
            <w:r>
              <w:rPr>
                <w:rFonts w:ascii="宋体" w:hAnsi="宋体" w:eastAsia="宋体" w:cs="宋体"/>
                <w:sz w:val="20"/>
                <w:szCs w:val="20"/>
              </w:rPr>
              <w:t>明代军事制度，一卫统兵五千六百人，下设千户所、百户所，官兵"三分守城，七分屯种"</w:t>
            </w:r>
          </w:p>
        </w:tc>
      </w:tr>
      <w:tr w14:paraId="6FDA2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1BD4E6">
            <w:pPr>
              <w:spacing w:after="0"/>
            </w:pPr>
            <w:r>
              <w:rPr>
                <w:rFonts w:ascii="宋体" w:hAnsi="宋体" w:eastAsia="宋体" w:cs="宋体"/>
                <w:sz w:val="20"/>
                <w:szCs w:val="20"/>
              </w:rPr>
              <w:t>普定卫</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E2BF4A">
            <w:pPr>
              <w:spacing w:after="0"/>
            </w:pPr>
            <w:r>
              <w:rPr>
                <w:rFonts w:ascii="宋体" w:hAnsi="宋体" w:eastAsia="宋体" w:cs="宋体"/>
                <w:sz w:val="20"/>
                <w:szCs w:val="20"/>
              </w:rPr>
              <w:t>Puding Garrison</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6B6922">
            <w:pPr>
              <w:spacing w:after="0"/>
            </w:pPr>
            <w:r>
              <w:rPr>
                <w:rFonts w:ascii="宋体" w:hAnsi="宋体" w:eastAsia="宋体" w:cs="宋体"/>
                <w:sz w:val="20"/>
                <w:szCs w:val="20"/>
              </w:rPr>
              <w:t>明代在安顺设立的卫所，是黔中屯堡群的核心之一</w:t>
            </w:r>
          </w:p>
        </w:tc>
      </w:tr>
      <w:tr w14:paraId="5EDFC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5B131B">
            <w:pPr>
              <w:spacing w:after="0"/>
            </w:pPr>
            <w:r>
              <w:rPr>
                <w:rFonts w:ascii="宋体" w:hAnsi="宋体" w:eastAsia="宋体" w:cs="宋体"/>
                <w:sz w:val="20"/>
                <w:szCs w:val="20"/>
              </w:rPr>
              <w:t>滇黔驿道</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C9B089">
            <w:pPr>
              <w:spacing w:after="0"/>
            </w:pPr>
            <w:r>
              <w:rPr>
                <w:rFonts w:ascii="宋体" w:hAnsi="宋体" w:eastAsia="宋体" w:cs="宋体"/>
                <w:sz w:val="20"/>
                <w:szCs w:val="20"/>
              </w:rPr>
              <w:t>Yunnan-Guizhou Post Road</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6E09A3">
            <w:pPr>
              <w:spacing w:after="0"/>
            </w:pPr>
            <w:r>
              <w:rPr>
                <w:rFonts w:ascii="宋体" w:hAnsi="宋体" w:eastAsia="宋体" w:cs="宋体"/>
                <w:sz w:val="20"/>
                <w:szCs w:val="20"/>
              </w:rPr>
              <w:t>明代由湖广经贵州入云南的官方驿道，屯堡沿此驿道分布</w:t>
            </w:r>
          </w:p>
        </w:tc>
      </w:tr>
      <w:tr w14:paraId="3ADCD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DE3B5A">
            <w:pPr>
              <w:spacing w:after="0"/>
            </w:pPr>
            <w:r>
              <w:rPr>
                <w:rFonts w:ascii="宋体" w:hAnsi="宋体" w:eastAsia="宋体" w:cs="宋体"/>
                <w:sz w:val="20"/>
                <w:szCs w:val="20"/>
              </w:rPr>
              <w:t>卫所军户</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ABD157">
            <w:pPr>
              <w:spacing w:after="0"/>
            </w:pPr>
            <w:r>
              <w:rPr>
                <w:rFonts w:ascii="宋体" w:hAnsi="宋体" w:eastAsia="宋体" w:cs="宋体"/>
                <w:sz w:val="20"/>
                <w:szCs w:val="20"/>
              </w:rPr>
              <w:t>Military Household</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96B919">
            <w:pPr>
              <w:spacing w:after="0"/>
            </w:pPr>
            <w:r>
              <w:rPr>
                <w:rFonts w:ascii="宋体" w:hAnsi="宋体" w:eastAsia="宋体" w:cs="宋体"/>
                <w:sz w:val="20"/>
                <w:szCs w:val="20"/>
              </w:rPr>
              <w:t>明代卫所官兵及其家属，世代为军，是屯堡人的祖先</w:t>
            </w:r>
          </w:p>
        </w:tc>
      </w:tr>
      <w:tr w14:paraId="06C9D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6C2E97">
            <w:pPr>
              <w:spacing w:after="0"/>
            </w:pPr>
            <w:r>
              <w:rPr>
                <w:rFonts w:ascii="宋体" w:hAnsi="宋体" w:eastAsia="宋体" w:cs="宋体"/>
                <w:sz w:val="20"/>
                <w:szCs w:val="20"/>
              </w:rPr>
              <w:t>屯田</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B68B4E">
            <w:pPr>
              <w:spacing w:after="0"/>
            </w:pPr>
            <w:r>
              <w:rPr>
                <w:rFonts w:ascii="宋体" w:hAnsi="宋体" w:eastAsia="宋体" w:cs="宋体"/>
                <w:sz w:val="20"/>
                <w:szCs w:val="20"/>
              </w:rPr>
              <w:t>Military Farming</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4531C21">
            <w:pPr>
              <w:spacing w:after="0"/>
            </w:pPr>
            <w:r>
              <w:rPr>
                <w:rFonts w:ascii="宋体" w:hAnsi="宋体" w:eastAsia="宋体" w:cs="宋体"/>
                <w:sz w:val="20"/>
                <w:szCs w:val="20"/>
              </w:rPr>
              <w:t>卫所官兵在驻防地开垦耕种，军饷自给的制度</w:t>
            </w:r>
          </w:p>
        </w:tc>
      </w:tr>
      <w:tr w14:paraId="563FC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0081D4">
            <w:pPr>
              <w:spacing w:after="0"/>
            </w:pPr>
            <w:r>
              <w:rPr>
                <w:rFonts w:ascii="宋体" w:hAnsi="宋体" w:eastAsia="宋体" w:cs="宋体"/>
                <w:sz w:val="20"/>
                <w:szCs w:val="20"/>
              </w:rPr>
              <w:t>土司制度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A592FC">
            <w:pPr>
              <w:spacing w:after="0"/>
            </w:pPr>
            <w:r>
              <w:rPr>
                <w:rFonts w:ascii="宋体" w:hAnsi="宋体" w:eastAsia="宋体" w:cs="宋体"/>
                <w:sz w:val="20"/>
                <w:szCs w:val="20"/>
              </w:rPr>
              <w:t>Tusi System</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BAAAB3">
            <w:pPr>
              <w:spacing w:after="0"/>
            </w:pPr>
            <w:r>
              <w:rPr>
                <w:rFonts w:ascii="宋体" w:hAnsi="宋体" w:eastAsia="宋体" w:cs="宋体"/>
                <w:sz w:val="20"/>
                <w:szCs w:val="20"/>
              </w:rPr>
              <w:t>元明清时期在西南少数民族地区实行的世袭地方官制度，与卫所制度并存</w:t>
            </w:r>
          </w:p>
        </w:tc>
      </w:tr>
    </w:tbl>
    <w:p w14:paraId="007B25E8">
      <w:pPr>
        <w:pStyle w:val="3"/>
        <w:spacing w:before="300" w:after="200"/>
      </w:pPr>
      <w:bookmarkStart w:id="350" w:name="_Toc31752"/>
      <w:r>
        <w:rPr>
          <w:rFonts w:ascii="黑体" w:hAnsi="黑体" w:eastAsia="黑体" w:cs="黑体"/>
          <w:b/>
          <w:bCs/>
          <w:color w:val="000000"/>
          <w:sz w:val="28"/>
          <w:szCs w:val="28"/>
        </w:rPr>
        <w:t>A.2 村寨与建筑</w:t>
      </w:r>
      <w:bookmarkEnd w:id="35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3C40C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0C1B0A8">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87D89E8">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6C60F0F">
            <w:pPr>
              <w:spacing w:after="0"/>
            </w:pPr>
            <w:r>
              <w:rPr>
                <w:rFonts w:ascii="宋体" w:hAnsi="宋体" w:eastAsia="宋体" w:cs="宋体"/>
                <w:b/>
                <w:bCs/>
                <w:color w:val="FFFFFF"/>
                <w:sz w:val="20"/>
                <w:szCs w:val="20"/>
              </w:rPr>
              <w:t>释义</w:t>
            </w:r>
          </w:p>
        </w:tc>
      </w:tr>
      <w:tr w14:paraId="2B378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10311C">
            <w:pPr>
              <w:spacing w:after="0"/>
            </w:pPr>
            <w:r>
              <w:rPr>
                <w:rFonts w:ascii="宋体" w:hAnsi="宋体" w:eastAsia="宋体" w:cs="宋体"/>
                <w:sz w:val="20"/>
                <w:szCs w:val="20"/>
              </w:rPr>
              <w:t>屯堡</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BB7E8E">
            <w:pPr>
              <w:spacing w:after="0"/>
            </w:pPr>
            <w:r>
              <w:rPr>
                <w:rFonts w:ascii="宋体" w:hAnsi="宋体" w:eastAsia="宋体" w:cs="宋体"/>
                <w:sz w:val="20"/>
                <w:szCs w:val="20"/>
              </w:rPr>
              <w:t>Tunpu</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AA7FD5">
            <w:pPr>
              <w:spacing w:after="0"/>
            </w:pPr>
            <w:r>
              <w:rPr>
                <w:rFonts w:ascii="宋体" w:hAnsi="宋体" w:eastAsia="宋体" w:cs="宋体"/>
                <w:sz w:val="20"/>
                <w:szCs w:val="20"/>
              </w:rPr>
              <w:t>明代卫所屯军及其后裔形成的军事-农耕聚落，亦指其独特文化形态</w:t>
            </w:r>
          </w:p>
        </w:tc>
      </w:tr>
      <w:tr w14:paraId="265AB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8C703E">
            <w:pPr>
              <w:spacing w:after="0"/>
            </w:pPr>
            <w:r>
              <w:rPr>
                <w:rFonts w:ascii="宋体" w:hAnsi="宋体" w:eastAsia="宋体" w:cs="宋体"/>
                <w:sz w:val="20"/>
                <w:szCs w:val="20"/>
              </w:rPr>
              <w:t>天龙屯堡</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6D0923">
            <w:pPr>
              <w:spacing w:after="0"/>
            </w:pPr>
            <w:r>
              <w:rPr>
                <w:rFonts w:ascii="宋体" w:hAnsi="宋体" w:eastAsia="宋体" w:cs="宋体"/>
                <w:sz w:val="20"/>
                <w:szCs w:val="20"/>
              </w:rPr>
              <w:t>Tianlong Tunpu</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DEAF5F">
            <w:pPr>
              <w:spacing w:after="0"/>
            </w:pPr>
            <w:r>
              <w:rPr>
                <w:rFonts w:ascii="宋体" w:hAnsi="宋体" w:eastAsia="宋体" w:cs="宋体"/>
                <w:sz w:val="20"/>
                <w:szCs w:val="20"/>
              </w:rPr>
              <w:t>位于安顺市平坝区，屯堡文化旅游开发最早的村寨，国家4A级景区</w:t>
            </w:r>
          </w:p>
        </w:tc>
      </w:tr>
      <w:tr w14:paraId="3F054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8C1FD2">
            <w:pPr>
              <w:spacing w:after="0"/>
            </w:pPr>
            <w:r>
              <w:rPr>
                <w:rFonts w:ascii="宋体" w:hAnsi="宋体" w:eastAsia="宋体" w:cs="宋体"/>
                <w:sz w:val="20"/>
                <w:szCs w:val="20"/>
              </w:rPr>
              <w:t>本寨</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A3984D">
            <w:pPr>
              <w:spacing w:after="0"/>
            </w:pPr>
            <w:r>
              <w:rPr>
                <w:rFonts w:ascii="宋体" w:hAnsi="宋体" w:eastAsia="宋体" w:cs="宋体"/>
                <w:sz w:val="20"/>
                <w:szCs w:val="20"/>
              </w:rPr>
              <w:t>Benzhai</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167FC8">
            <w:pPr>
              <w:spacing w:after="0"/>
            </w:pPr>
            <w:r>
              <w:rPr>
                <w:rFonts w:ascii="宋体" w:hAnsi="宋体" w:eastAsia="宋体" w:cs="宋体"/>
                <w:sz w:val="20"/>
                <w:szCs w:val="20"/>
              </w:rPr>
              <w:t>位于安顺市西秀区七眼桥镇，以保存完好的屯堡民居建筑群著称，全国重点文物保护单位</w:t>
            </w:r>
          </w:p>
        </w:tc>
      </w:tr>
      <w:tr w14:paraId="2E6DA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CA5B7C">
            <w:pPr>
              <w:spacing w:after="0"/>
            </w:pPr>
            <w:r>
              <w:rPr>
                <w:rFonts w:ascii="宋体" w:hAnsi="宋体" w:eastAsia="宋体" w:cs="宋体"/>
                <w:sz w:val="20"/>
                <w:szCs w:val="20"/>
              </w:rPr>
              <w:t>云山屯</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1D5D1E">
            <w:pPr>
              <w:spacing w:after="0"/>
            </w:pPr>
            <w:r>
              <w:rPr>
                <w:rFonts w:ascii="宋体" w:hAnsi="宋体" w:eastAsia="宋体" w:cs="宋体"/>
                <w:sz w:val="20"/>
                <w:szCs w:val="20"/>
              </w:rPr>
              <w:t>Yunshan Tunpu</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AF2CD0">
            <w:pPr>
              <w:spacing w:after="0"/>
            </w:pPr>
            <w:r>
              <w:rPr>
                <w:rFonts w:ascii="宋体" w:hAnsi="宋体" w:eastAsia="宋体" w:cs="宋体"/>
                <w:sz w:val="20"/>
                <w:szCs w:val="20"/>
              </w:rPr>
              <w:t>位于安顺市西秀区云峰山，依山而建的屯堡村寨，中国历史文化名村</w:t>
            </w:r>
          </w:p>
        </w:tc>
      </w:tr>
      <w:tr w14:paraId="210EB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731BF9">
            <w:pPr>
              <w:spacing w:after="0"/>
            </w:pPr>
            <w:r>
              <w:rPr>
                <w:rFonts w:ascii="宋体" w:hAnsi="宋体" w:eastAsia="宋体" w:cs="宋体"/>
                <w:sz w:val="20"/>
                <w:szCs w:val="20"/>
              </w:rPr>
              <w:t>鲍家屯</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A9E0F4">
            <w:pPr>
              <w:spacing w:after="0"/>
            </w:pPr>
            <w:r>
              <w:rPr>
                <w:rFonts w:ascii="宋体" w:hAnsi="宋体" w:eastAsia="宋体" w:cs="宋体"/>
                <w:sz w:val="20"/>
                <w:szCs w:val="20"/>
              </w:rPr>
              <w:t>Baojia Tunpu</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00BD9E">
            <w:pPr>
              <w:spacing w:after="0"/>
            </w:pPr>
            <w:r>
              <w:rPr>
                <w:rFonts w:ascii="宋体" w:hAnsi="宋体" w:eastAsia="宋体" w:cs="宋体"/>
                <w:sz w:val="20"/>
                <w:szCs w:val="20"/>
              </w:rPr>
              <w:t>位于安顺市西秀区大西桥镇，以明代古水利系统闻名</w:t>
            </w:r>
          </w:p>
        </w:tc>
      </w:tr>
      <w:tr w14:paraId="797CD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33F569">
            <w:pPr>
              <w:spacing w:after="0"/>
            </w:pPr>
            <w:r>
              <w:rPr>
                <w:rFonts w:ascii="宋体" w:hAnsi="宋体" w:eastAsia="宋体" w:cs="宋体"/>
                <w:sz w:val="20"/>
                <w:szCs w:val="20"/>
              </w:rPr>
              <w:t>旧州古镇</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375FF9">
            <w:pPr>
              <w:spacing w:after="0"/>
            </w:pPr>
            <w:r>
              <w:rPr>
                <w:rFonts w:ascii="宋体" w:hAnsi="宋体" w:eastAsia="宋体" w:cs="宋体"/>
                <w:sz w:val="20"/>
                <w:szCs w:val="20"/>
              </w:rPr>
              <w:t>Jiuzhou Ancient Town</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52545A">
            <w:pPr>
              <w:spacing w:after="0"/>
            </w:pPr>
            <w:r>
              <w:rPr>
                <w:rFonts w:ascii="宋体" w:hAnsi="宋体" w:eastAsia="宋体" w:cs="宋体"/>
                <w:sz w:val="20"/>
                <w:szCs w:val="20"/>
              </w:rPr>
              <w:t>元明时期安顺州治所在地，屯堡文化与少数民族文化交融的典型</w:t>
            </w:r>
          </w:p>
        </w:tc>
      </w:tr>
      <w:tr w14:paraId="3D536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9D0604">
            <w:pPr>
              <w:spacing w:after="0"/>
            </w:pPr>
            <w:r>
              <w:rPr>
                <w:rFonts w:ascii="宋体" w:hAnsi="宋体" w:eastAsia="宋体" w:cs="宋体"/>
                <w:sz w:val="20"/>
                <w:szCs w:val="20"/>
              </w:rPr>
              <w:t>碉楼</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0DC6FD">
            <w:pPr>
              <w:spacing w:after="0"/>
            </w:pPr>
            <w:r>
              <w:rPr>
                <w:rFonts w:ascii="宋体" w:hAnsi="宋体" w:eastAsia="宋体" w:cs="宋体"/>
                <w:sz w:val="20"/>
                <w:szCs w:val="20"/>
              </w:rPr>
              <w:t>Watchtower</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BB855D">
            <w:pPr>
              <w:spacing w:after="0"/>
            </w:pPr>
            <w:r>
              <w:rPr>
                <w:rFonts w:ascii="宋体" w:hAnsi="宋体" w:eastAsia="宋体" w:cs="宋体"/>
                <w:sz w:val="20"/>
                <w:szCs w:val="20"/>
              </w:rPr>
              <w:t>屯堡村寨中的高层防御建筑，用于瞭望和射击</w:t>
            </w:r>
          </w:p>
        </w:tc>
      </w:tr>
      <w:tr w14:paraId="003A1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D5656EE">
            <w:pPr>
              <w:spacing w:after="0"/>
            </w:pPr>
            <w:r>
              <w:rPr>
                <w:rFonts w:ascii="宋体" w:hAnsi="宋体" w:eastAsia="宋体" w:cs="宋体"/>
                <w:sz w:val="20"/>
                <w:szCs w:val="20"/>
              </w:rPr>
              <w:t>八字门楼</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EF8243">
            <w:pPr>
              <w:spacing w:after="0"/>
            </w:pPr>
            <w:r>
              <w:rPr>
                <w:rFonts w:ascii="宋体" w:hAnsi="宋体" w:eastAsia="宋体" w:cs="宋体"/>
                <w:sz w:val="20"/>
                <w:szCs w:val="20"/>
              </w:rPr>
              <w:t>Splayed Gatehouse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F230B4B">
            <w:pPr>
              <w:spacing w:after="0"/>
            </w:pPr>
            <w:r>
              <w:rPr>
                <w:rFonts w:ascii="宋体" w:hAnsi="宋体" w:eastAsia="宋体" w:cs="宋体"/>
                <w:sz w:val="20"/>
                <w:szCs w:val="20"/>
              </w:rPr>
              <w:t>屯堡民居的入口建筑，两侧墙体呈外八字形展开，兼具装饰和防御功能</w:t>
            </w:r>
          </w:p>
        </w:tc>
      </w:tr>
      <w:tr w14:paraId="713A6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FFCE82">
            <w:pPr>
              <w:spacing w:after="0"/>
            </w:pPr>
            <w:r>
              <w:rPr>
                <w:rFonts w:ascii="宋体" w:hAnsi="宋体" w:eastAsia="宋体" w:cs="宋体"/>
                <w:sz w:val="20"/>
                <w:szCs w:val="20"/>
              </w:rPr>
              <w:t>天井</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3470A6">
            <w:pPr>
              <w:spacing w:after="0"/>
            </w:pPr>
            <w:r>
              <w:rPr>
                <w:rFonts w:ascii="宋体" w:hAnsi="宋体" w:eastAsia="宋体" w:cs="宋体"/>
                <w:sz w:val="20"/>
                <w:szCs w:val="20"/>
              </w:rPr>
              <w:t>Courtyard</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4B67E2">
            <w:pPr>
              <w:spacing w:after="0"/>
            </w:pPr>
            <w:r>
              <w:rPr>
                <w:rFonts w:ascii="宋体" w:hAnsi="宋体" w:eastAsia="宋体" w:cs="宋体"/>
                <w:sz w:val="20"/>
                <w:szCs w:val="20"/>
              </w:rPr>
              <w:t>屯堡四合院中央的露天空间，用于采光、通风和日常活动</w:t>
            </w:r>
          </w:p>
        </w:tc>
      </w:tr>
      <w:tr w14:paraId="44A35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99BF91">
            <w:pPr>
              <w:spacing w:after="0"/>
            </w:pPr>
            <w:r>
              <w:rPr>
                <w:rFonts w:ascii="宋体" w:hAnsi="宋体" w:eastAsia="宋体" w:cs="宋体"/>
                <w:sz w:val="20"/>
                <w:szCs w:val="20"/>
              </w:rPr>
              <w:t>片石干砌</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F4A58DB">
            <w:pPr>
              <w:spacing w:after="0"/>
            </w:pPr>
            <w:r>
              <w:rPr>
                <w:rFonts w:ascii="宋体" w:hAnsi="宋体" w:eastAsia="宋体" w:cs="宋体"/>
                <w:sz w:val="20"/>
                <w:szCs w:val="20"/>
              </w:rPr>
              <w:t>Dry Stone Masonry</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6D3BC0F">
            <w:pPr>
              <w:spacing w:after="0"/>
            </w:pPr>
            <w:r>
              <w:rPr>
                <w:rFonts w:ascii="宋体" w:hAnsi="宋体" w:eastAsia="宋体" w:cs="宋体"/>
                <w:sz w:val="20"/>
                <w:szCs w:val="20"/>
              </w:rPr>
              <w:t>屯堡建筑特有的砌筑工艺，不施泥浆，靠石片咬合和重力维持墙体稳定</w:t>
            </w:r>
          </w:p>
        </w:tc>
      </w:tr>
      <w:tr w14:paraId="76D19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A30C692">
            <w:pPr>
              <w:spacing w:after="0"/>
            </w:pPr>
            <w:r>
              <w:rPr>
                <w:rFonts w:ascii="宋体" w:hAnsi="宋体" w:eastAsia="宋体" w:cs="宋体"/>
                <w:sz w:val="20"/>
                <w:szCs w:val="20"/>
              </w:rPr>
              <w:t>演武场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BAFA01">
            <w:pPr>
              <w:spacing w:after="0"/>
            </w:pPr>
            <w:r>
              <w:rPr>
                <w:rFonts w:ascii="宋体" w:hAnsi="宋体" w:eastAsia="宋体" w:cs="宋体"/>
                <w:sz w:val="20"/>
                <w:szCs w:val="20"/>
              </w:rPr>
              <w:t>Drill Ground</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00B6DCB">
            <w:pPr>
              <w:spacing w:after="0"/>
            </w:pPr>
            <w:r>
              <w:rPr>
                <w:rFonts w:ascii="宋体" w:hAnsi="宋体" w:eastAsia="宋体" w:cs="宋体"/>
                <w:sz w:val="20"/>
                <w:szCs w:val="20"/>
              </w:rPr>
              <w:t>屯堡村寨中用于军事训练和地戏表演的广场</w:t>
            </w:r>
          </w:p>
        </w:tc>
      </w:tr>
    </w:tbl>
    <w:p w14:paraId="48998707">
      <w:pPr>
        <w:pStyle w:val="3"/>
        <w:spacing w:before="300" w:after="200"/>
      </w:pPr>
      <w:bookmarkStart w:id="351" w:name="_Toc16054"/>
      <w:r>
        <w:rPr>
          <w:rFonts w:ascii="黑体" w:hAnsi="黑体" w:eastAsia="黑体" w:cs="黑体"/>
          <w:b/>
          <w:bCs/>
          <w:color w:val="000000"/>
          <w:sz w:val="28"/>
          <w:szCs w:val="28"/>
        </w:rPr>
        <w:t>A.3 地戏与表演</w:t>
      </w:r>
      <w:bookmarkEnd w:id="351"/>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21E4C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85C5869">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ABC7D1B">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8E6F314">
            <w:pPr>
              <w:spacing w:after="0"/>
            </w:pPr>
            <w:r>
              <w:rPr>
                <w:rFonts w:ascii="宋体" w:hAnsi="宋体" w:eastAsia="宋体" w:cs="宋体"/>
                <w:b/>
                <w:bCs/>
                <w:color w:val="FFFFFF"/>
                <w:sz w:val="20"/>
                <w:szCs w:val="20"/>
              </w:rPr>
              <w:t>释义</w:t>
            </w:r>
          </w:p>
        </w:tc>
      </w:tr>
      <w:tr w14:paraId="28914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AF31480">
            <w:pPr>
              <w:spacing w:after="0"/>
            </w:pPr>
            <w:r>
              <w:rPr>
                <w:rFonts w:ascii="宋体" w:hAnsi="宋体" w:eastAsia="宋体" w:cs="宋体"/>
                <w:sz w:val="20"/>
                <w:szCs w:val="20"/>
              </w:rPr>
              <w:t>安顺地戏</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BE9086">
            <w:pPr>
              <w:spacing w:after="0"/>
            </w:pPr>
            <w:r>
              <w:rPr>
                <w:rFonts w:ascii="宋体" w:hAnsi="宋体" w:eastAsia="宋体" w:cs="宋体"/>
                <w:sz w:val="20"/>
                <w:szCs w:val="20"/>
              </w:rPr>
              <w:t>Anshun Dixi (Ground Opera)</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9B6767">
            <w:pPr>
              <w:spacing w:after="0"/>
            </w:pPr>
            <w:r>
              <w:rPr>
                <w:rFonts w:ascii="宋体" w:hAnsi="宋体" w:eastAsia="宋体" w:cs="宋体"/>
                <w:sz w:val="20"/>
                <w:szCs w:val="20"/>
              </w:rPr>
              <w:t>屯堡人传承的古老戏剧形式，以面具表演古代战争故事，国家级非物质文化遗产</w:t>
            </w:r>
          </w:p>
        </w:tc>
      </w:tr>
      <w:tr w14:paraId="7B8B1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4103F8">
            <w:pPr>
              <w:spacing w:after="0"/>
            </w:pPr>
            <w:r>
              <w:rPr>
                <w:rFonts w:ascii="宋体" w:hAnsi="宋体" w:eastAsia="宋体" w:cs="宋体"/>
                <w:sz w:val="20"/>
                <w:szCs w:val="20"/>
              </w:rPr>
              <w:t>跳神</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AF4D65">
            <w:pPr>
              <w:spacing w:after="0"/>
            </w:pPr>
            <w:r>
              <w:rPr>
                <w:rFonts w:ascii="宋体" w:hAnsi="宋体" w:eastAsia="宋体" w:cs="宋体"/>
                <w:sz w:val="20"/>
                <w:szCs w:val="20"/>
              </w:rPr>
              <w:t>Tiaoshen (Spirit Dance)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E4EC1D">
            <w:pPr>
              <w:spacing w:after="0"/>
            </w:pPr>
            <w:r>
              <w:rPr>
                <w:rFonts w:ascii="宋体" w:hAnsi="宋体" w:eastAsia="宋体" w:cs="宋体"/>
                <w:sz w:val="20"/>
                <w:szCs w:val="20"/>
              </w:rPr>
              <w:t>屯堡人对地戏的俗称，强调其祭祀和仪式功能</w:t>
            </w:r>
          </w:p>
        </w:tc>
      </w:tr>
      <w:tr w14:paraId="5789F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FC89DE">
            <w:pPr>
              <w:spacing w:after="0"/>
            </w:pPr>
            <w:r>
              <w:rPr>
                <w:rFonts w:ascii="宋体" w:hAnsi="宋体" w:eastAsia="宋体" w:cs="宋体"/>
                <w:sz w:val="20"/>
                <w:szCs w:val="20"/>
              </w:rPr>
              <w:t>地戏面具</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D082C0">
            <w:pPr>
              <w:spacing w:after="0"/>
            </w:pPr>
            <w:r>
              <w:rPr>
                <w:rFonts w:ascii="宋体" w:hAnsi="宋体" w:eastAsia="宋体" w:cs="宋体"/>
                <w:sz w:val="20"/>
                <w:szCs w:val="20"/>
              </w:rPr>
              <w:t>Dixi Mask</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776ACB">
            <w:pPr>
              <w:spacing w:after="0"/>
            </w:pPr>
            <w:r>
              <w:rPr>
                <w:rFonts w:ascii="宋体" w:hAnsi="宋体" w:eastAsia="宋体" w:cs="宋体"/>
                <w:sz w:val="20"/>
                <w:szCs w:val="20"/>
              </w:rPr>
              <w:t>地戏表演用的木雕彩绘面具，每面代表一个角色，是地戏的核心道具</w:t>
            </w:r>
          </w:p>
        </w:tc>
      </w:tr>
      <w:tr w14:paraId="79452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C61477">
            <w:pPr>
              <w:spacing w:after="0"/>
            </w:pPr>
            <w:r>
              <w:rPr>
                <w:rFonts w:ascii="宋体" w:hAnsi="宋体" w:eastAsia="宋体" w:cs="宋体"/>
                <w:sz w:val="20"/>
                <w:szCs w:val="20"/>
              </w:rPr>
              <w:t>弋阳腔</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C4F6F2">
            <w:pPr>
              <w:spacing w:after="0"/>
            </w:pPr>
            <w:r>
              <w:rPr>
                <w:rFonts w:ascii="宋体" w:hAnsi="宋体" w:eastAsia="宋体" w:cs="宋体"/>
                <w:sz w:val="20"/>
                <w:szCs w:val="20"/>
              </w:rPr>
              <w:t>Yiyang Tune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03A0C7">
            <w:pPr>
              <w:spacing w:after="0"/>
            </w:pPr>
            <w:r>
              <w:rPr>
                <w:rFonts w:ascii="宋体" w:hAnsi="宋体" w:eastAsia="宋体" w:cs="宋体"/>
                <w:sz w:val="20"/>
                <w:szCs w:val="20"/>
              </w:rPr>
              <w:t>明代戏曲声腔之一，地戏唱腔属于弋阳腔体系</w:t>
            </w:r>
          </w:p>
        </w:tc>
      </w:tr>
      <w:tr w14:paraId="1BB29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17212F">
            <w:pPr>
              <w:spacing w:after="0"/>
            </w:pPr>
            <w:r>
              <w:rPr>
                <w:rFonts w:ascii="宋体" w:hAnsi="宋体" w:eastAsia="宋体" w:cs="宋体"/>
                <w:sz w:val="20"/>
                <w:szCs w:val="20"/>
              </w:rPr>
              <w:t>锣鼓经</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8CBED1">
            <w:pPr>
              <w:spacing w:after="0"/>
            </w:pPr>
            <w:r>
              <w:rPr>
                <w:rFonts w:ascii="宋体" w:hAnsi="宋体" w:eastAsia="宋体" w:cs="宋体"/>
                <w:sz w:val="20"/>
                <w:szCs w:val="20"/>
              </w:rPr>
              <w:t>Percussion Score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F58137E">
            <w:pPr>
              <w:spacing w:after="0"/>
            </w:pPr>
            <w:r>
              <w:rPr>
                <w:rFonts w:ascii="宋体" w:hAnsi="宋体" w:eastAsia="宋体" w:cs="宋体"/>
                <w:sz w:val="20"/>
                <w:szCs w:val="20"/>
              </w:rPr>
              <w:t>地戏锣鼓的演奏谱式，传统上以口传心授方式传承</w:t>
            </w:r>
          </w:p>
        </w:tc>
      </w:tr>
      <w:tr w14:paraId="42AF4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C7E025">
            <w:pPr>
              <w:spacing w:after="0"/>
            </w:pPr>
            <w:r>
              <w:rPr>
                <w:rFonts w:ascii="宋体" w:hAnsi="宋体" w:eastAsia="宋体" w:cs="宋体"/>
                <w:sz w:val="20"/>
                <w:szCs w:val="20"/>
              </w:rPr>
              <w:t>开箱</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D49EE0">
            <w:pPr>
              <w:spacing w:after="0"/>
            </w:pPr>
            <w:r>
              <w:rPr>
                <w:rFonts w:ascii="宋体" w:hAnsi="宋体" w:eastAsia="宋体" w:cs="宋体"/>
                <w:sz w:val="20"/>
                <w:szCs w:val="20"/>
              </w:rPr>
              <w:t>Opening the Box</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BD8FDB9">
            <w:pPr>
              <w:spacing w:after="0"/>
            </w:pPr>
            <w:r>
              <w:rPr>
                <w:rFonts w:ascii="宋体" w:hAnsi="宋体" w:eastAsia="宋体" w:cs="宋体"/>
                <w:sz w:val="20"/>
                <w:szCs w:val="20"/>
              </w:rPr>
              <w:t>地戏演出前的仪式，从木箱中取出面具并焚香祭拜</w:t>
            </w:r>
          </w:p>
        </w:tc>
      </w:tr>
      <w:tr w14:paraId="6D41D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AA4A8A">
            <w:pPr>
              <w:spacing w:after="0"/>
            </w:pPr>
            <w:r>
              <w:rPr>
                <w:rFonts w:ascii="宋体" w:hAnsi="宋体" w:eastAsia="宋体" w:cs="宋体"/>
                <w:sz w:val="20"/>
                <w:szCs w:val="20"/>
              </w:rPr>
              <w:t>封箱</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497ACA">
            <w:pPr>
              <w:spacing w:after="0"/>
            </w:pPr>
            <w:r>
              <w:rPr>
                <w:rFonts w:ascii="宋体" w:hAnsi="宋体" w:eastAsia="宋体" w:cs="宋体"/>
                <w:sz w:val="20"/>
                <w:szCs w:val="20"/>
              </w:rPr>
              <w:t>Sealing the Box</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FFFE6B5">
            <w:pPr>
              <w:spacing w:after="0"/>
            </w:pPr>
            <w:r>
              <w:rPr>
                <w:rFonts w:ascii="宋体" w:hAnsi="宋体" w:eastAsia="宋体" w:cs="宋体"/>
                <w:sz w:val="20"/>
                <w:szCs w:val="20"/>
              </w:rPr>
              <w:t>地戏演出后的仪式，将面具收回木箱封存</w:t>
            </w:r>
          </w:p>
        </w:tc>
      </w:tr>
      <w:tr w14:paraId="13B78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97D3D9">
            <w:pPr>
              <w:spacing w:after="0"/>
            </w:pPr>
            <w:r>
              <w:rPr>
                <w:rFonts w:ascii="宋体" w:hAnsi="宋体" w:eastAsia="宋体" w:cs="宋体"/>
                <w:sz w:val="20"/>
                <w:szCs w:val="20"/>
              </w:rPr>
              <w:t>跳全书</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9CC523">
            <w:pPr>
              <w:spacing w:after="0"/>
            </w:pPr>
            <w:r>
              <w:rPr>
                <w:rFonts w:ascii="宋体" w:hAnsi="宋体" w:eastAsia="宋体" w:cs="宋体"/>
                <w:sz w:val="20"/>
                <w:szCs w:val="20"/>
              </w:rPr>
              <w:t>Complete Performance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1C46D1">
            <w:pPr>
              <w:spacing w:after="0"/>
            </w:pPr>
            <w:r>
              <w:rPr>
                <w:rFonts w:ascii="宋体" w:hAnsi="宋体" w:eastAsia="宋体" w:cs="宋体"/>
                <w:sz w:val="20"/>
                <w:szCs w:val="20"/>
              </w:rPr>
              <w:t>完整演绎一部历史演义小说的地戏演出，通常需数日甚至数十日</w:t>
            </w:r>
          </w:p>
        </w:tc>
      </w:tr>
    </w:tbl>
    <w:p w14:paraId="0949C185">
      <w:pPr>
        <w:pStyle w:val="3"/>
        <w:spacing w:before="300" w:after="200"/>
      </w:pPr>
      <w:bookmarkStart w:id="352" w:name="_Toc29305"/>
      <w:r>
        <w:rPr>
          <w:rFonts w:ascii="黑体" w:hAnsi="黑体" w:eastAsia="黑体" w:cs="黑体"/>
          <w:b/>
          <w:bCs/>
          <w:color w:val="000000"/>
          <w:sz w:val="28"/>
          <w:szCs w:val="28"/>
        </w:rPr>
        <w:t>A.4 服饰与手工艺</w:t>
      </w:r>
      <w:bookmarkEnd w:id="35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5FF0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4A60368">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4B86170">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02DD527">
            <w:pPr>
              <w:spacing w:after="0"/>
            </w:pPr>
            <w:r>
              <w:rPr>
                <w:rFonts w:ascii="宋体" w:hAnsi="宋体" w:eastAsia="宋体" w:cs="宋体"/>
                <w:b/>
                <w:bCs/>
                <w:color w:val="FFFFFF"/>
                <w:sz w:val="20"/>
                <w:szCs w:val="20"/>
              </w:rPr>
              <w:t>释义</w:t>
            </w:r>
          </w:p>
        </w:tc>
      </w:tr>
      <w:tr w14:paraId="64CB8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430AFE">
            <w:pPr>
              <w:spacing w:after="0"/>
            </w:pPr>
            <w:r>
              <w:rPr>
                <w:rFonts w:ascii="宋体" w:hAnsi="宋体" w:eastAsia="宋体" w:cs="宋体"/>
                <w:sz w:val="20"/>
                <w:szCs w:val="20"/>
              </w:rPr>
              <w:t>凤阳汉装</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CB02FD">
            <w:pPr>
              <w:spacing w:after="0"/>
            </w:pPr>
            <w:r>
              <w:rPr>
                <w:rFonts w:ascii="宋体" w:hAnsi="宋体" w:eastAsia="宋体" w:cs="宋体"/>
                <w:sz w:val="20"/>
                <w:szCs w:val="20"/>
              </w:rPr>
              <w:t>Fengyang Han Costume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520AD3">
            <w:pPr>
              <w:spacing w:after="0"/>
            </w:pPr>
            <w:r>
              <w:rPr>
                <w:rFonts w:ascii="宋体" w:hAnsi="宋体" w:eastAsia="宋体" w:cs="宋体"/>
                <w:sz w:val="20"/>
                <w:szCs w:val="20"/>
              </w:rPr>
              <w:t>屯堡妇女穿着的明代江淮传统服饰，延续至今六百年</w:t>
            </w:r>
          </w:p>
        </w:tc>
      </w:tr>
      <w:tr w14:paraId="426FF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31A60B">
            <w:pPr>
              <w:spacing w:after="0"/>
            </w:pPr>
            <w:r>
              <w:rPr>
                <w:rFonts w:ascii="宋体" w:hAnsi="宋体" w:eastAsia="宋体" w:cs="宋体"/>
                <w:sz w:val="20"/>
                <w:szCs w:val="20"/>
              </w:rPr>
              <w:t>丝头系腰</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5D66AC">
            <w:pPr>
              <w:spacing w:after="0"/>
            </w:pPr>
            <w:r>
              <w:rPr>
                <w:rFonts w:ascii="宋体" w:hAnsi="宋体" w:eastAsia="宋体" w:cs="宋体"/>
                <w:sz w:val="20"/>
                <w:szCs w:val="20"/>
              </w:rPr>
              <w:t>Silk-thread Waistband</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88D97C">
            <w:pPr>
              <w:spacing w:after="0"/>
            </w:pPr>
            <w:r>
              <w:rPr>
                <w:rFonts w:ascii="宋体" w:hAnsi="宋体" w:eastAsia="宋体" w:cs="宋体"/>
                <w:sz w:val="20"/>
                <w:szCs w:val="20"/>
              </w:rPr>
              <w:t>屯堡妇女腰间的丝线编织装饰，服饰中最精致的部分</w:t>
            </w:r>
          </w:p>
        </w:tc>
      </w:tr>
      <w:tr w14:paraId="5A981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23A669">
            <w:pPr>
              <w:spacing w:after="0"/>
            </w:pPr>
            <w:r>
              <w:rPr>
                <w:rFonts w:ascii="宋体" w:hAnsi="宋体" w:eastAsia="宋体" w:cs="宋体"/>
                <w:sz w:val="20"/>
                <w:szCs w:val="20"/>
              </w:rPr>
              <w:t>翘头绣花鞋</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C10113">
            <w:pPr>
              <w:spacing w:after="0"/>
            </w:pPr>
            <w:r>
              <w:rPr>
                <w:rFonts w:ascii="宋体" w:hAnsi="宋体" w:eastAsia="宋体" w:cs="宋体"/>
                <w:sz w:val="20"/>
                <w:szCs w:val="20"/>
              </w:rPr>
              <w:t>Turned-up Embroidered Shoes</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89201E">
            <w:pPr>
              <w:spacing w:after="0"/>
            </w:pPr>
            <w:r>
              <w:rPr>
                <w:rFonts w:ascii="宋体" w:hAnsi="宋体" w:eastAsia="宋体" w:cs="宋体"/>
                <w:sz w:val="20"/>
                <w:szCs w:val="20"/>
              </w:rPr>
              <w:t>屯堡妇女的传统鞋履，鞋头微微上翘，鞋面绣有花草纹样</w:t>
            </w:r>
          </w:p>
        </w:tc>
      </w:tr>
      <w:tr w14:paraId="6C8C7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5048B8">
            <w:pPr>
              <w:spacing w:after="0"/>
            </w:pPr>
            <w:r>
              <w:rPr>
                <w:rFonts w:ascii="宋体" w:hAnsi="宋体" w:eastAsia="宋体" w:cs="宋体"/>
                <w:sz w:val="20"/>
                <w:szCs w:val="20"/>
              </w:rPr>
              <w:t>头帕</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E719954">
            <w:pPr>
              <w:spacing w:after="0"/>
            </w:pPr>
            <w:r>
              <w:rPr>
                <w:rFonts w:ascii="宋体" w:hAnsi="宋体" w:eastAsia="宋体" w:cs="宋体"/>
                <w:sz w:val="20"/>
                <w:szCs w:val="20"/>
              </w:rPr>
              <w:t>Head Scarf</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729B00A">
            <w:pPr>
              <w:spacing w:after="0"/>
            </w:pPr>
            <w:r>
              <w:rPr>
                <w:rFonts w:ascii="宋体" w:hAnsi="宋体" w:eastAsia="宋体" w:cs="宋体"/>
                <w:sz w:val="20"/>
                <w:szCs w:val="20"/>
              </w:rPr>
              <w:t>屯堡已婚妇女包头的青布或白布，是已婚身份的标志</w:t>
            </w:r>
          </w:p>
        </w:tc>
      </w:tr>
    </w:tbl>
    <w:p w14:paraId="57E6473F">
      <w:pPr>
        <w:pStyle w:val="3"/>
        <w:spacing w:before="300" w:after="200"/>
      </w:pPr>
      <w:bookmarkStart w:id="353" w:name="_Toc11771"/>
      <w:r>
        <w:rPr>
          <w:rFonts w:ascii="黑体" w:hAnsi="黑体" w:eastAsia="黑体" w:cs="黑体"/>
          <w:b/>
          <w:bCs/>
          <w:color w:val="000000"/>
          <w:sz w:val="28"/>
          <w:szCs w:val="28"/>
        </w:rPr>
        <w:t>A.5 信仰与民俗</w:t>
      </w:r>
      <w:bookmarkEnd w:id="35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2F476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0655A4A">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E141209">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EA6470F">
            <w:pPr>
              <w:spacing w:after="0"/>
            </w:pPr>
            <w:r>
              <w:rPr>
                <w:rFonts w:ascii="宋体" w:hAnsi="宋体" w:eastAsia="宋体" w:cs="宋体"/>
                <w:b/>
                <w:bCs/>
                <w:color w:val="FFFFFF"/>
                <w:sz w:val="20"/>
                <w:szCs w:val="20"/>
              </w:rPr>
              <w:t>释义</w:t>
            </w:r>
          </w:p>
        </w:tc>
      </w:tr>
      <w:tr w14:paraId="24C6F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4B4CFB">
            <w:pPr>
              <w:spacing w:after="0"/>
            </w:pPr>
            <w:r>
              <w:rPr>
                <w:rFonts w:ascii="宋体" w:hAnsi="宋体" w:eastAsia="宋体" w:cs="宋体"/>
                <w:sz w:val="20"/>
                <w:szCs w:val="20"/>
              </w:rPr>
              <w:t>汪公崇拜</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258733">
            <w:pPr>
              <w:spacing w:after="0"/>
            </w:pPr>
            <w:r>
              <w:rPr>
                <w:rFonts w:ascii="宋体" w:hAnsi="宋体" w:eastAsia="宋体" w:cs="宋体"/>
                <w:sz w:val="20"/>
                <w:szCs w:val="20"/>
              </w:rPr>
              <w:t>Duke Wang Worship</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1E3B58">
            <w:pPr>
              <w:spacing w:after="0"/>
            </w:pPr>
            <w:r>
              <w:rPr>
                <w:rFonts w:ascii="宋体" w:hAnsi="宋体" w:eastAsia="宋体" w:cs="宋体"/>
                <w:sz w:val="20"/>
                <w:szCs w:val="20"/>
              </w:rPr>
              <w:t>屯堡人对唐代名将汪华的信仰，每年正月举行"抬汪公"仪式</w:t>
            </w:r>
          </w:p>
        </w:tc>
      </w:tr>
      <w:tr w14:paraId="230B5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E9AAE7">
            <w:pPr>
              <w:spacing w:after="0"/>
            </w:pPr>
            <w:r>
              <w:rPr>
                <w:rFonts w:ascii="宋体" w:hAnsi="宋体" w:eastAsia="宋体" w:cs="宋体"/>
                <w:sz w:val="20"/>
                <w:szCs w:val="20"/>
              </w:rPr>
              <w:t>抬汪公</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5D7500">
            <w:pPr>
              <w:spacing w:after="0"/>
            </w:pPr>
            <w:r>
              <w:rPr>
                <w:rFonts w:ascii="宋体" w:hAnsi="宋体" w:eastAsia="宋体" w:cs="宋体"/>
                <w:sz w:val="20"/>
                <w:szCs w:val="20"/>
              </w:rPr>
              <w:t>Carrying Duke Wang</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8C1C7D">
            <w:pPr>
              <w:spacing w:after="0"/>
            </w:pPr>
            <w:r>
              <w:rPr>
                <w:rFonts w:ascii="宋体" w:hAnsi="宋体" w:eastAsia="宋体" w:cs="宋体"/>
                <w:sz w:val="20"/>
                <w:szCs w:val="20"/>
              </w:rPr>
              <w:t>屯堡最重要的民俗活动之一，将汪公神像从庙中抬出巡游</w:t>
            </w:r>
          </w:p>
        </w:tc>
      </w:tr>
      <w:tr w14:paraId="06EED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DCE58B">
            <w:pPr>
              <w:spacing w:after="0"/>
            </w:pPr>
            <w:r>
              <w:rPr>
                <w:rFonts w:ascii="宋体" w:hAnsi="宋体" w:eastAsia="宋体" w:cs="宋体"/>
                <w:sz w:val="20"/>
                <w:szCs w:val="20"/>
              </w:rPr>
              <w:t>五显崇拜</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57E882">
            <w:pPr>
              <w:spacing w:after="0"/>
            </w:pPr>
            <w:r>
              <w:rPr>
                <w:rFonts w:ascii="宋体" w:hAnsi="宋体" w:eastAsia="宋体" w:cs="宋体"/>
                <w:sz w:val="20"/>
                <w:szCs w:val="20"/>
              </w:rPr>
              <w:t>Wuxian Worship</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CCDBAE0">
            <w:pPr>
              <w:spacing w:after="0"/>
            </w:pPr>
            <w:r>
              <w:rPr>
                <w:rFonts w:ascii="宋体" w:hAnsi="宋体" w:eastAsia="宋体" w:cs="宋体"/>
                <w:sz w:val="20"/>
                <w:szCs w:val="20"/>
              </w:rPr>
              <w:t>屯堡人对五显神（财神和火神）的信仰</w:t>
            </w:r>
          </w:p>
        </w:tc>
      </w:tr>
      <w:tr w14:paraId="380DB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ABF766">
            <w:pPr>
              <w:spacing w:after="0"/>
            </w:pPr>
            <w:r>
              <w:rPr>
                <w:rFonts w:ascii="宋体" w:hAnsi="宋体" w:eastAsia="宋体" w:cs="宋体"/>
                <w:sz w:val="20"/>
                <w:szCs w:val="20"/>
              </w:rPr>
              <w:t>跳花灯</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480B0ED">
            <w:pPr>
              <w:spacing w:after="0"/>
            </w:pPr>
            <w:r>
              <w:rPr>
                <w:rFonts w:ascii="宋体" w:hAnsi="宋体" w:eastAsia="宋体" w:cs="宋体"/>
                <w:sz w:val="20"/>
                <w:szCs w:val="20"/>
              </w:rPr>
              <w:t>Flower Lantern Dance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E8E81F">
            <w:pPr>
              <w:spacing w:after="0"/>
            </w:pPr>
            <w:r>
              <w:rPr>
                <w:rFonts w:ascii="宋体" w:hAnsi="宋体" w:eastAsia="宋体" w:cs="宋体"/>
                <w:sz w:val="20"/>
                <w:szCs w:val="20"/>
              </w:rPr>
              <w:t>屯堡民间歌舞表演，常见于春节和元宵节</w:t>
            </w:r>
          </w:p>
        </w:tc>
      </w:tr>
      <w:tr w14:paraId="68A25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17D2F2">
            <w:pPr>
              <w:spacing w:after="0"/>
            </w:pPr>
            <w:r>
              <w:rPr>
                <w:rFonts w:ascii="宋体" w:hAnsi="宋体" w:eastAsia="宋体" w:cs="宋体"/>
                <w:sz w:val="20"/>
                <w:szCs w:val="20"/>
              </w:rPr>
              <w:t>迎春牛</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20607AA">
            <w:pPr>
              <w:spacing w:after="0"/>
            </w:pPr>
            <w:r>
              <w:rPr>
                <w:rFonts w:ascii="宋体" w:hAnsi="宋体" w:eastAsia="宋体" w:cs="宋体"/>
                <w:sz w:val="20"/>
                <w:szCs w:val="20"/>
              </w:rPr>
              <w:t>Welcoming the Spring Ox</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B19989">
            <w:pPr>
              <w:spacing w:after="0"/>
            </w:pPr>
            <w:r>
              <w:rPr>
                <w:rFonts w:ascii="宋体" w:hAnsi="宋体" w:eastAsia="宋体" w:cs="宋体"/>
                <w:sz w:val="20"/>
                <w:szCs w:val="20"/>
              </w:rPr>
              <w:t>屯堡立春时节的民俗活动，祈求风调雨顺</w:t>
            </w:r>
          </w:p>
        </w:tc>
      </w:tr>
      <w:tr w14:paraId="1E7E3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DCDDE4">
            <w:pPr>
              <w:spacing w:after="0"/>
            </w:pPr>
            <w:r>
              <w:rPr>
                <w:rFonts w:ascii="宋体" w:hAnsi="宋体" w:eastAsia="宋体" w:cs="宋体"/>
                <w:sz w:val="20"/>
                <w:szCs w:val="20"/>
              </w:rPr>
              <w:t>八大碗</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2E3881">
            <w:pPr>
              <w:spacing w:after="0"/>
            </w:pPr>
            <w:r>
              <w:rPr>
                <w:rFonts w:ascii="宋体" w:hAnsi="宋体" w:eastAsia="宋体" w:cs="宋体"/>
                <w:sz w:val="20"/>
                <w:szCs w:val="20"/>
              </w:rPr>
              <w:t>Eight-Bowl Feast</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AC6A15">
            <w:pPr>
              <w:spacing w:after="0"/>
            </w:pPr>
            <w:r>
              <w:rPr>
                <w:rFonts w:ascii="宋体" w:hAnsi="宋体" w:eastAsia="宋体" w:cs="宋体"/>
                <w:sz w:val="20"/>
                <w:szCs w:val="20"/>
              </w:rPr>
              <w:t>屯堡传统宴席的标准配置，包括八道主菜</w:t>
            </w:r>
          </w:p>
        </w:tc>
      </w:tr>
    </w:tbl>
    <w:p w14:paraId="08EF1AF5">
      <w:pPr>
        <w:pStyle w:val="3"/>
        <w:spacing w:before="300" w:after="200"/>
      </w:pPr>
      <w:bookmarkStart w:id="354" w:name="_Toc22664"/>
      <w:r>
        <w:rPr>
          <w:rFonts w:ascii="黑体" w:hAnsi="黑体" w:eastAsia="黑体" w:cs="黑体"/>
          <w:b/>
          <w:bCs/>
          <w:color w:val="000000"/>
          <w:sz w:val="28"/>
          <w:szCs w:val="28"/>
        </w:rPr>
        <w:t>A.6 数字化与技术</w:t>
      </w:r>
      <w:bookmarkEnd w:id="35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F893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29958AC">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D65E40A">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C4F9D4D">
            <w:pPr>
              <w:spacing w:after="0"/>
            </w:pPr>
            <w:r>
              <w:rPr>
                <w:rFonts w:ascii="宋体" w:hAnsi="宋体" w:eastAsia="宋体" w:cs="宋体"/>
                <w:b/>
                <w:bCs/>
                <w:color w:val="FFFFFF"/>
                <w:sz w:val="20"/>
                <w:szCs w:val="20"/>
              </w:rPr>
              <w:t>释义</w:t>
            </w:r>
          </w:p>
        </w:tc>
      </w:tr>
      <w:tr w14:paraId="0EBB3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91BDC9">
            <w:pPr>
              <w:spacing w:after="0"/>
            </w:pPr>
            <w:r>
              <w:rPr>
                <w:rFonts w:ascii="宋体" w:hAnsi="宋体" w:eastAsia="宋体" w:cs="宋体"/>
                <w:sz w:val="20"/>
                <w:szCs w:val="20"/>
              </w:rPr>
              <w:t>文化遗产数字化</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B7BCAF">
            <w:pPr>
              <w:spacing w:after="0"/>
            </w:pPr>
            <w:r>
              <w:rPr>
                <w:rFonts w:ascii="宋体" w:hAnsi="宋体" w:eastAsia="宋体" w:cs="宋体"/>
                <w:sz w:val="20"/>
                <w:szCs w:val="20"/>
              </w:rPr>
              <w:t>Cultural Heritage Digitization</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BE2D55">
            <w:pPr>
              <w:spacing w:after="0"/>
            </w:pPr>
            <w:r>
              <w:rPr>
                <w:rFonts w:ascii="宋体" w:hAnsi="宋体" w:eastAsia="宋体" w:cs="宋体"/>
                <w:sz w:val="20"/>
                <w:szCs w:val="20"/>
              </w:rPr>
              <w:t>运用数字技术对文化遗产进行采集、存储、处理、展示和传播的系统工程</w:t>
            </w:r>
          </w:p>
        </w:tc>
      </w:tr>
      <w:tr w14:paraId="656A5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D1604B">
            <w:pPr>
              <w:spacing w:after="0"/>
            </w:pPr>
            <w:r>
              <w:rPr>
                <w:rFonts w:ascii="宋体" w:hAnsi="宋体" w:eastAsia="宋体" w:cs="宋体"/>
                <w:sz w:val="20"/>
                <w:szCs w:val="20"/>
              </w:rPr>
              <w:t>三维激光扫描</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9A8CCE">
            <w:pPr>
              <w:spacing w:after="0"/>
            </w:pPr>
            <w:r>
              <w:rPr>
                <w:rFonts w:ascii="宋体" w:hAnsi="宋体" w:eastAsia="宋体" w:cs="宋体"/>
                <w:sz w:val="20"/>
                <w:szCs w:val="20"/>
              </w:rPr>
              <w:t>3D Laser Scanning</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37F443">
            <w:pPr>
              <w:spacing w:after="0"/>
            </w:pPr>
            <w:r>
              <w:rPr>
                <w:rFonts w:ascii="宋体" w:hAnsi="宋体" w:eastAsia="宋体" w:cs="宋体"/>
                <w:sz w:val="20"/>
                <w:szCs w:val="20"/>
              </w:rPr>
              <w:t>通过激光测距获取物体表面三维坐标的数字化采集技术</w:t>
            </w:r>
          </w:p>
        </w:tc>
      </w:tr>
      <w:tr w14:paraId="5B8B9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B8BBBD">
            <w:pPr>
              <w:spacing w:after="0"/>
            </w:pPr>
            <w:r>
              <w:rPr>
                <w:rFonts w:ascii="宋体" w:hAnsi="宋体" w:eastAsia="宋体" w:cs="宋体"/>
                <w:sz w:val="20"/>
                <w:szCs w:val="20"/>
              </w:rPr>
              <w:t>摄影测量</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0BD9BC">
            <w:pPr>
              <w:spacing w:after="0"/>
            </w:pPr>
            <w:r>
              <w:rPr>
                <w:rFonts w:ascii="宋体" w:hAnsi="宋体" w:eastAsia="宋体" w:cs="宋体"/>
                <w:sz w:val="20"/>
                <w:szCs w:val="20"/>
              </w:rPr>
              <w:t>Photogrammetry</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1C4FAF">
            <w:pPr>
              <w:spacing w:after="0"/>
            </w:pPr>
            <w:r>
              <w:rPr>
                <w:rFonts w:ascii="宋体" w:hAnsi="宋体" w:eastAsia="宋体" w:cs="宋体"/>
                <w:sz w:val="20"/>
                <w:szCs w:val="20"/>
              </w:rPr>
              <w:t>从二维影像中重建三维模型的技术</w:t>
            </w:r>
          </w:p>
        </w:tc>
      </w:tr>
      <w:tr w14:paraId="393AE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F90A6D">
            <w:pPr>
              <w:spacing w:after="0"/>
            </w:pPr>
            <w:r>
              <w:rPr>
                <w:rFonts w:ascii="宋体" w:hAnsi="宋体" w:eastAsia="宋体" w:cs="宋体"/>
                <w:sz w:val="20"/>
                <w:szCs w:val="20"/>
              </w:rPr>
              <w:t>HBIM</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95232EB">
            <w:pPr>
              <w:spacing w:after="0"/>
            </w:pPr>
            <w:r>
              <w:rPr>
                <w:rFonts w:ascii="宋体" w:hAnsi="宋体" w:eastAsia="宋体" w:cs="宋体"/>
                <w:sz w:val="20"/>
                <w:szCs w:val="20"/>
              </w:rPr>
              <w:t>Heritage Building Information Modeling</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8B62B0">
            <w:pPr>
              <w:spacing w:after="0"/>
            </w:pPr>
            <w:r>
              <w:rPr>
                <w:rFonts w:ascii="宋体" w:hAnsi="宋体" w:eastAsia="宋体" w:cs="宋体"/>
                <w:sz w:val="20"/>
                <w:szCs w:val="20"/>
              </w:rPr>
              <w:t>历史建筑信息模型，用于古建筑全生命周期管理</w:t>
            </w:r>
          </w:p>
        </w:tc>
      </w:tr>
      <w:tr w14:paraId="1D423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76B038">
            <w:pPr>
              <w:spacing w:after="0"/>
            </w:pPr>
            <w:r>
              <w:rPr>
                <w:rFonts w:ascii="宋体" w:hAnsi="宋体" w:eastAsia="宋体" w:cs="宋体"/>
                <w:sz w:val="20"/>
                <w:szCs w:val="20"/>
              </w:rPr>
              <w:t>数字孪生</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0BC02AC">
            <w:pPr>
              <w:spacing w:after="0"/>
            </w:pPr>
            <w:r>
              <w:rPr>
                <w:rFonts w:ascii="宋体" w:hAnsi="宋体" w:eastAsia="宋体" w:cs="宋体"/>
                <w:sz w:val="20"/>
                <w:szCs w:val="20"/>
              </w:rPr>
              <w:t>Digital Twin</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59E28F">
            <w:pPr>
              <w:spacing w:after="0"/>
            </w:pPr>
            <w:r>
              <w:rPr>
                <w:rFonts w:ascii="宋体" w:hAnsi="宋体" w:eastAsia="宋体" w:cs="宋体"/>
                <w:sz w:val="20"/>
                <w:szCs w:val="20"/>
              </w:rPr>
              <w:t>物理对象的实时同步、双向互动的数字模型</w:t>
            </w:r>
          </w:p>
        </w:tc>
      </w:tr>
      <w:tr w14:paraId="15A9A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905109">
            <w:pPr>
              <w:spacing w:after="0"/>
            </w:pPr>
            <w:r>
              <w:rPr>
                <w:rFonts w:ascii="宋体" w:hAnsi="宋体" w:eastAsia="宋体" w:cs="宋体"/>
                <w:sz w:val="20"/>
                <w:szCs w:val="20"/>
              </w:rPr>
              <w:t>知识图谱</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F553DB">
            <w:pPr>
              <w:spacing w:after="0"/>
            </w:pPr>
            <w:r>
              <w:rPr>
                <w:rFonts w:ascii="宋体" w:hAnsi="宋体" w:eastAsia="宋体" w:cs="宋体"/>
                <w:sz w:val="20"/>
                <w:szCs w:val="20"/>
              </w:rPr>
              <w:t>Knowledge Graph</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1EC502">
            <w:pPr>
              <w:spacing w:after="0"/>
            </w:pPr>
            <w:r>
              <w:rPr>
                <w:rFonts w:ascii="宋体" w:hAnsi="宋体" w:eastAsia="宋体" w:cs="宋体"/>
                <w:sz w:val="20"/>
                <w:szCs w:val="20"/>
              </w:rPr>
              <w:t>用图结构表示知识的技术，支持语义查询和推理</w:t>
            </w:r>
          </w:p>
        </w:tc>
      </w:tr>
      <w:tr w14:paraId="4F2DA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04F6EC">
            <w:pPr>
              <w:spacing w:after="0"/>
            </w:pPr>
            <w:r>
              <w:rPr>
                <w:rFonts w:ascii="宋体" w:hAnsi="宋体" w:eastAsia="宋体" w:cs="宋体"/>
                <w:sz w:val="20"/>
                <w:szCs w:val="20"/>
              </w:rPr>
              <w:t>非物质文化遗产</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0CFBEA">
            <w:pPr>
              <w:spacing w:after="0"/>
            </w:pPr>
            <w:r>
              <w:rPr>
                <w:rFonts w:ascii="宋体" w:hAnsi="宋体" w:eastAsia="宋体" w:cs="宋体"/>
                <w:sz w:val="20"/>
                <w:szCs w:val="20"/>
              </w:rPr>
              <w:t>Intangible Cultural Heritage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0E68C6">
            <w:pPr>
              <w:spacing w:after="0"/>
            </w:pPr>
            <w:r>
              <w:rPr>
                <w:rFonts w:ascii="宋体" w:hAnsi="宋体" w:eastAsia="宋体" w:cs="宋体"/>
                <w:sz w:val="20"/>
                <w:szCs w:val="20"/>
              </w:rPr>
              <w:t>被各社区、群体视为其文化遗产组成部分的各种实践、表演、表现形式、知识和技能</w:t>
            </w:r>
          </w:p>
        </w:tc>
      </w:tr>
    </w:tbl>
    <w:p w14:paraId="095DDE55">
      <w:pPr>
        <w:pStyle w:val="3"/>
        <w:spacing w:before="300" w:after="200"/>
      </w:pPr>
      <w:bookmarkStart w:id="355" w:name="_Toc23895"/>
      <w:r>
        <w:rPr>
          <w:rFonts w:ascii="黑体" w:hAnsi="黑体" w:eastAsia="黑体" w:cs="黑体"/>
          <w:b/>
          <w:bCs/>
          <w:color w:val="000000"/>
          <w:sz w:val="28"/>
          <w:szCs w:val="28"/>
        </w:rPr>
        <w:t>A.7 旅游与保护</w:t>
      </w:r>
      <w:bookmarkEnd w:id="35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1C64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DD15AB9">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8DA7407">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C42E502">
            <w:pPr>
              <w:spacing w:after="0"/>
            </w:pPr>
            <w:r>
              <w:rPr>
                <w:rFonts w:ascii="宋体" w:hAnsi="宋体" w:eastAsia="宋体" w:cs="宋体"/>
                <w:b/>
                <w:bCs/>
                <w:color w:val="FFFFFF"/>
                <w:sz w:val="20"/>
                <w:szCs w:val="20"/>
              </w:rPr>
              <w:t>释义</w:t>
            </w:r>
          </w:p>
        </w:tc>
      </w:tr>
      <w:tr w14:paraId="168EF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60DAE8">
            <w:pPr>
              <w:spacing w:after="0"/>
            </w:pPr>
            <w:r>
              <w:rPr>
                <w:rFonts w:ascii="宋体" w:hAnsi="宋体" w:eastAsia="宋体" w:cs="宋体"/>
                <w:sz w:val="20"/>
                <w:szCs w:val="20"/>
              </w:rPr>
              <w:t>固态保护</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C658A1">
            <w:pPr>
              <w:spacing w:after="0"/>
            </w:pPr>
            <w:r>
              <w:rPr>
                <w:rFonts w:ascii="宋体" w:hAnsi="宋体" w:eastAsia="宋体" w:cs="宋体"/>
                <w:sz w:val="20"/>
                <w:szCs w:val="20"/>
              </w:rPr>
              <w:t>Physical Conservation</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326167">
            <w:pPr>
              <w:spacing w:after="0"/>
            </w:pPr>
            <w:r>
              <w:rPr>
                <w:rFonts w:ascii="宋体" w:hAnsi="宋体" w:eastAsia="宋体" w:cs="宋体"/>
                <w:sz w:val="20"/>
                <w:szCs w:val="20"/>
              </w:rPr>
              <w:t>对文化遗产物质载体进行科学修缮和维护的保护方式</w:t>
            </w:r>
          </w:p>
        </w:tc>
      </w:tr>
      <w:tr w14:paraId="094A0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36948F">
            <w:pPr>
              <w:spacing w:after="0"/>
            </w:pPr>
            <w:r>
              <w:rPr>
                <w:rFonts w:ascii="宋体" w:hAnsi="宋体" w:eastAsia="宋体" w:cs="宋体"/>
                <w:sz w:val="20"/>
                <w:szCs w:val="20"/>
              </w:rPr>
              <w:t>活态传承</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5233EC">
            <w:pPr>
              <w:spacing w:after="0"/>
            </w:pPr>
            <w:r>
              <w:rPr>
                <w:rFonts w:ascii="宋体" w:hAnsi="宋体" w:eastAsia="宋体" w:cs="宋体"/>
                <w:sz w:val="20"/>
                <w:szCs w:val="20"/>
              </w:rPr>
              <w:t>Living Transmission</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B318A15">
            <w:pPr>
              <w:spacing w:after="0"/>
            </w:pPr>
            <w:r>
              <w:rPr>
                <w:rFonts w:ascii="宋体" w:hAnsi="宋体" w:eastAsia="宋体" w:cs="宋体"/>
                <w:sz w:val="20"/>
                <w:szCs w:val="20"/>
              </w:rPr>
              <w:t>让文化遗产在当代社会中持续发挥功能、创新发展的传承方式</w:t>
            </w:r>
          </w:p>
        </w:tc>
      </w:tr>
      <w:tr w14:paraId="3A313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529BDD">
            <w:pPr>
              <w:spacing w:after="0"/>
            </w:pPr>
            <w:r>
              <w:rPr>
                <w:rFonts w:ascii="宋体" w:hAnsi="宋体" w:eastAsia="宋体" w:cs="宋体"/>
                <w:sz w:val="20"/>
                <w:szCs w:val="20"/>
              </w:rPr>
              <w:t>文化活化</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8546B0">
            <w:pPr>
              <w:spacing w:after="0"/>
            </w:pPr>
            <w:r>
              <w:rPr>
                <w:rFonts w:ascii="宋体" w:hAnsi="宋体" w:eastAsia="宋体" w:cs="宋体"/>
                <w:sz w:val="20"/>
                <w:szCs w:val="20"/>
              </w:rPr>
              <w:t>Cultural Activation</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767ACB">
            <w:pPr>
              <w:spacing w:after="0"/>
            </w:pPr>
            <w:r>
              <w:rPr>
                <w:rFonts w:ascii="宋体" w:hAnsi="宋体" w:eastAsia="宋体" w:cs="宋体"/>
                <w:sz w:val="20"/>
                <w:szCs w:val="20"/>
              </w:rPr>
              <w:t>让文化遗产在当代社会中重新发挥功能、创造价值的过程</w:t>
            </w:r>
          </w:p>
        </w:tc>
      </w:tr>
      <w:tr w14:paraId="1C641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C27C6D">
            <w:pPr>
              <w:spacing w:after="0"/>
            </w:pPr>
            <w:r>
              <w:rPr>
                <w:rFonts w:ascii="宋体" w:hAnsi="宋体" w:eastAsia="宋体" w:cs="宋体"/>
                <w:sz w:val="20"/>
                <w:szCs w:val="20"/>
              </w:rPr>
              <w:t>沉浸式体验</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48CA349">
            <w:pPr>
              <w:spacing w:after="0"/>
            </w:pPr>
            <w:r>
              <w:rPr>
                <w:rFonts w:ascii="宋体" w:hAnsi="宋体" w:eastAsia="宋体" w:cs="宋体"/>
                <w:sz w:val="20"/>
                <w:szCs w:val="20"/>
              </w:rPr>
              <w:t>Immersive Experience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BEFE71">
            <w:pPr>
              <w:spacing w:after="0"/>
            </w:pPr>
            <w:r>
              <w:rPr>
                <w:rFonts w:ascii="宋体" w:hAnsi="宋体" w:eastAsia="宋体" w:cs="宋体"/>
                <w:sz w:val="20"/>
                <w:szCs w:val="20"/>
              </w:rPr>
              <w:t>通过多感官、多层次的刺激让参与者产生身临其境感受的体验方式</w:t>
            </w:r>
          </w:p>
        </w:tc>
      </w:tr>
      <w:tr w14:paraId="3A6ED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511D94">
            <w:pPr>
              <w:spacing w:after="0"/>
            </w:pPr>
            <w:r>
              <w:rPr>
                <w:rFonts w:ascii="宋体" w:hAnsi="宋体" w:eastAsia="宋体" w:cs="宋体"/>
                <w:sz w:val="20"/>
                <w:szCs w:val="20"/>
              </w:rPr>
              <w:t>社区参与</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CDAD79">
            <w:pPr>
              <w:spacing w:after="0"/>
            </w:pPr>
            <w:r>
              <w:rPr>
                <w:rFonts w:ascii="宋体" w:hAnsi="宋体" w:eastAsia="宋体" w:cs="宋体"/>
                <w:sz w:val="20"/>
                <w:szCs w:val="20"/>
              </w:rPr>
              <w:t>Community Participation</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DE6D22">
            <w:pPr>
              <w:spacing w:after="0"/>
            </w:pPr>
            <w:r>
              <w:rPr>
                <w:rFonts w:ascii="宋体" w:hAnsi="宋体" w:eastAsia="宋体" w:cs="宋体"/>
                <w:sz w:val="20"/>
                <w:szCs w:val="20"/>
              </w:rPr>
              <w:t>社区作为文化遗产的主人和保护主体参与保护和开发的过程</w:t>
            </w:r>
          </w:p>
        </w:tc>
      </w:tr>
      <w:tr w14:paraId="39D9F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9CD593">
            <w:pPr>
              <w:spacing w:after="0"/>
            </w:pPr>
            <w:r>
              <w:rPr>
                <w:rFonts w:ascii="宋体" w:hAnsi="宋体" w:eastAsia="宋体" w:cs="宋体"/>
                <w:sz w:val="20"/>
                <w:szCs w:val="20"/>
              </w:rPr>
              <w:t>旅游承载力</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42422D">
            <w:pPr>
              <w:spacing w:after="0"/>
            </w:pPr>
            <w:r>
              <w:rPr>
                <w:rFonts w:ascii="宋体" w:hAnsi="宋体" w:eastAsia="宋体" w:cs="宋体"/>
                <w:sz w:val="20"/>
                <w:szCs w:val="20"/>
              </w:rPr>
              <w:t>Tourism Carrying Capacity</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4498CE">
            <w:pPr>
              <w:spacing w:after="0"/>
            </w:pPr>
            <w:r>
              <w:rPr>
                <w:rFonts w:ascii="宋体" w:hAnsi="宋体" w:eastAsia="宋体" w:cs="宋体"/>
                <w:sz w:val="20"/>
                <w:szCs w:val="20"/>
              </w:rPr>
              <w:t>不导致环境质量下降和体验恶化的最大游客量</w:t>
            </w:r>
          </w:p>
        </w:tc>
      </w:tr>
      <w:tr w14:paraId="242EE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6F1F30">
            <w:pPr>
              <w:spacing w:after="0"/>
            </w:pPr>
            <w:r>
              <w:rPr>
                <w:rFonts w:ascii="宋体" w:hAnsi="宋体" w:eastAsia="宋体" w:cs="宋体"/>
                <w:sz w:val="20"/>
                <w:szCs w:val="20"/>
              </w:rPr>
              <w:t>原真性</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E49750">
            <w:pPr>
              <w:spacing w:after="0"/>
            </w:pPr>
            <w:r>
              <w:rPr>
                <w:rFonts w:ascii="宋体" w:hAnsi="宋体" w:eastAsia="宋体" w:cs="宋体"/>
                <w:sz w:val="20"/>
                <w:szCs w:val="20"/>
              </w:rPr>
              <w:t>Authenticity</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05FEC2">
            <w:pPr>
              <w:spacing w:after="0"/>
            </w:pPr>
            <w:r>
              <w:rPr>
                <w:rFonts w:ascii="宋体" w:hAnsi="宋体" w:eastAsia="宋体" w:cs="宋体"/>
                <w:sz w:val="20"/>
                <w:szCs w:val="20"/>
              </w:rPr>
              <w:t>文化遗产的真实性和完整性，是遗产保护和旅游体验的核心标准</w:t>
            </w:r>
          </w:p>
        </w:tc>
      </w:tr>
    </w:tbl>
    <w:p w14:paraId="213E0553">
      <w:r>
        <w:br w:type="page"/>
      </w:r>
    </w:p>
    <w:p w14:paraId="15D190E8">
      <w:pPr>
        <w:pStyle w:val="2"/>
        <w:spacing w:before="400" w:after="200"/>
      </w:pPr>
      <w:bookmarkStart w:id="356" w:name="_Toc11896"/>
      <w:r>
        <w:rPr>
          <w:rFonts w:ascii="黑体" w:hAnsi="黑体" w:eastAsia="黑体" w:cs="黑体"/>
          <w:b/>
          <w:bCs/>
          <w:color w:val="1F4E79"/>
          <w:sz w:val="32"/>
          <w:szCs w:val="32"/>
        </w:rPr>
        <w:t>附录B 屯堡核心村寨与建筑图谱</w:t>
      </w:r>
      <w:bookmarkEnd w:id="356"/>
    </w:p>
    <w:p w14:paraId="11E3D7DE">
      <w:pPr>
        <w:pStyle w:val="3"/>
        <w:spacing w:before="300" w:after="200"/>
      </w:pPr>
      <w:bookmarkStart w:id="357" w:name="_Toc5535"/>
      <w:r>
        <w:rPr>
          <w:rFonts w:ascii="黑体" w:hAnsi="黑体" w:eastAsia="黑体" w:cs="黑体"/>
          <w:b/>
          <w:bCs/>
          <w:color w:val="000000"/>
          <w:sz w:val="28"/>
          <w:szCs w:val="28"/>
        </w:rPr>
        <w:t>B.1 黔中屯堡文化圈总览</w:t>
      </w:r>
      <w:bookmarkEnd w:id="357"/>
    </w:p>
    <w:p w14:paraId="172FC703">
      <w:pPr>
        <w:spacing w:after="120" w:line="360" w:lineRule="auto"/>
        <w:jc w:val="both"/>
      </w:pPr>
      <w:r>
        <w:rPr>
          <w:rFonts w:ascii="宋体" w:hAnsi="宋体" w:eastAsia="宋体" w:cs="宋体"/>
          <w:sz w:val="24"/>
          <w:szCs w:val="24"/>
        </w:rPr>
        <w:t>屯堡文化以安顺市西秀区和平坝区为核心，辐射镇宁、普定、关岭、紫云等县区，形成总面积约3000平方公里的文化圈。下表列出主要屯堡村寨的基本信息。</w:t>
      </w:r>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00D6D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27A33CA">
            <w:pPr>
              <w:spacing w:after="0"/>
            </w:pPr>
            <w:r>
              <w:rPr>
                <w:rFonts w:ascii="宋体" w:hAnsi="宋体" w:eastAsia="宋体" w:cs="宋体"/>
                <w:b/>
                <w:bCs/>
                <w:color w:val="FFFFFF"/>
                <w:sz w:val="20"/>
                <w:szCs w:val="20"/>
              </w:rPr>
              <w:t>村寨名称</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CF6EAB6">
            <w:pPr>
              <w:spacing w:after="0"/>
            </w:pPr>
            <w:r>
              <w:rPr>
                <w:rFonts w:ascii="宋体" w:hAnsi="宋体" w:eastAsia="宋体" w:cs="宋体"/>
                <w:b/>
                <w:bCs/>
                <w:color w:val="FFFFFF"/>
                <w:sz w:val="20"/>
                <w:szCs w:val="20"/>
              </w:rPr>
              <w:t>所属区镇</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11DAA4A">
            <w:pPr>
              <w:spacing w:after="0"/>
            </w:pPr>
            <w:r>
              <w:rPr>
                <w:rFonts w:ascii="宋体" w:hAnsi="宋体" w:eastAsia="宋体" w:cs="宋体"/>
                <w:b/>
                <w:bCs/>
                <w:color w:val="FFFFFF"/>
                <w:sz w:val="20"/>
                <w:szCs w:val="20"/>
              </w:rPr>
              <w:t>始建年代</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FFF697A">
            <w:pPr>
              <w:spacing w:after="0"/>
            </w:pPr>
            <w:r>
              <w:rPr>
                <w:rFonts w:ascii="宋体" w:hAnsi="宋体" w:eastAsia="宋体" w:cs="宋体"/>
                <w:b/>
                <w:bCs/>
                <w:color w:val="FFFFFF"/>
                <w:sz w:val="20"/>
                <w:szCs w:val="20"/>
              </w:rPr>
              <w:t>保护级别</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1376EE1">
            <w:pPr>
              <w:spacing w:after="0"/>
            </w:pPr>
            <w:r>
              <w:rPr>
                <w:rFonts w:ascii="宋体" w:hAnsi="宋体" w:eastAsia="宋体" w:cs="宋体"/>
                <w:b/>
                <w:bCs/>
                <w:color w:val="FFFFFF"/>
                <w:sz w:val="20"/>
                <w:szCs w:val="20"/>
              </w:rPr>
              <w:t>核心特色</w:t>
            </w:r>
          </w:p>
        </w:tc>
      </w:tr>
      <w:tr w14:paraId="74DFB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52C097">
            <w:pPr>
              <w:spacing w:after="0"/>
            </w:pPr>
            <w:r>
              <w:rPr>
                <w:rFonts w:ascii="宋体" w:hAnsi="宋体" w:eastAsia="宋体" w:cs="宋体"/>
                <w:sz w:val="20"/>
                <w:szCs w:val="20"/>
              </w:rPr>
              <w:t>天龙屯堡</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CFC2D9">
            <w:pPr>
              <w:spacing w:after="0"/>
            </w:pPr>
            <w:r>
              <w:rPr>
                <w:rFonts w:ascii="宋体" w:hAnsi="宋体" w:eastAsia="宋体" w:cs="宋体"/>
                <w:sz w:val="20"/>
                <w:szCs w:val="20"/>
              </w:rPr>
              <w:t>平坝区天龙镇</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48E4D9">
            <w:pPr>
              <w:spacing w:after="0"/>
            </w:pPr>
            <w:r>
              <w:rPr>
                <w:rFonts w:ascii="宋体" w:hAnsi="宋体" w:eastAsia="宋体" w:cs="宋体"/>
                <w:sz w:val="20"/>
                <w:szCs w:val="20"/>
              </w:rPr>
              <w:t>明洪武年间</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E37668">
            <w:pPr>
              <w:spacing w:after="0"/>
            </w:pPr>
            <w:r>
              <w:rPr>
                <w:rFonts w:ascii="宋体" w:hAnsi="宋体" w:eastAsia="宋体" w:cs="宋体"/>
                <w:sz w:val="20"/>
                <w:szCs w:val="20"/>
              </w:rPr>
              <w:t>国家4A级景区</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A6016C">
            <w:pPr>
              <w:spacing w:after="0"/>
            </w:pPr>
            <w:r>
              <w:rPr>
                <w:rFonts w:ascii="宋体" w:hAnsi="宋体" w:eastAsia="宋体" w:cs="宋体"/>
                <w:sz w:val="20"/>
                <w:szCs w:val="20"/>
              </w:rPr>
              <w:t>旅游开发最早，沈万三故居</w:t>
            </w:r>
          </w:p>
        </w:tc>
      </w:tr>
      <w:tr w14:paraId="51816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EC92E41">
            <w:pPr>
              <w:spacing w:after="0"/>
            </w:pPr>
            <w:r>
              <w:rPr>
                <w:rFonts w:ascii="宋体" w:hAnsi="宋体" w:eastAsia="宋体" w:cs="宋体"/>
                <w:sz w:val="20"/>
                <w:szCs w:val="20"/>
              </w:rPr>
              <w:t>本寨</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C03D91">
            <w:pPr>
              <w:spacing w:after="0"/>
            </w:pPr>
            <w:r>
              <w:rPr>
                <w:rFonts w:ascii="宋体" w:hAnsi="宋体" w:eastAsia="宋体" w:cs="宋体"/>
                <w:sz w:val="20"/>
                <w:szCs w:val="20"/>
              </w:rPr>
              <w:t>西秀区七眼桥镇</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0A7DA8">
            <w:pPr>
              <w:spacing w:after="0"/>
            </w:pPr>
            <w:r>
              <w:rPr>
                <w:rFonts w:ascii="宋体" w:hAnsi="宋体" w:eastAsia="宋体" w:cs="宋体"/>
                <w:sz w:val="20"/>
                <w:szCs w:val="20"/>
              </w:rPr>
              <w:t>明洪武年间</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86CA49">
            <w:pPr>
              <w:spacing w:after="0"/>
            </w:pPr>
            <w:r>
              <w:rPr>
                <w:rFonts w:ascii="宋体" w:hAnsi="宋体" w:eastAsia="宋体" w:cs="宋体"/>
                <w:sz w:val="20"/>
                <w:szCs w:val="20"/>
              </w:rPr>
              <w:t>全国重点文物保护单位</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2958A6">
            <w:pPr>
              <w:spacing w:after="0"/>
            </w:pPr>
            <w:r>
              <w:rPr>
                <w:rFonts w:ascii="宋体" w:hAnsi="宋体" w:eastAsia="宋体" w:cs="宋体"/>
                <w:sz w:val="20"/>
                <w:szCs w:val="20"/>
              </w:rPr>
              <w:t>保存最完整的民居建筑群</w:t>
            </w:r>
          </w:p>
        </w:tc>
      </w:tr>
      <w:tr w14:paraId="61CC1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A6898B">
            <w:pPr>
              <w:spacing w:after="0"/>
            </w:pPr>
            <w:r>
              <w:rPr>
                <w:rFonts w:ascii="宋体" w:hAnsi="宋体" w:eastAsia="宋体" w:cs="宋体"/>
                <w:sz w:val="20"/>
                <w:szCs w:val="20"/>
              </w:rPr>
              <w:t>云山屯</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0A187B">
            <w:pPr>
              <w:spacing w:after="0"/>
            </w:pPr>
            <w:r>
              <w:rPr>
                <w:rFonts w:ascii="宋体" w:hAnsi="宋体" w:eastAsia="宋体" w:cs="宋体"/>
                <w:sz w:val="20"/>
                <w:szCs w:val="20"/>
              </w:rPr>
              <w:t>西秀区七眼桥镇</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2616A5">
            <w:pPr>
              <w:spacing w:after="0"/>
            </w:pPr>
            <w:r>
              <w:rPr>
                <w:rFonts w:ascii="宋体" w:hAnsi="宋体" w:eastAsia="宋体" w:cs="宋体"/>
                <w:sz w:val="20"/>
                <w:szCs w:val="20"/>
              </w:rPr>
              <w:t>明洪武年间</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1AAF4D">
            <w:pPr>
              <w:spacing w:after="0"/>
            </w:pPr>
            <w:r>
              <w:rPr>
                <w:rFonts w:ascii="宋体" w:hAnsi="宋体" w:eastAsia="宋体" w:cs="宋体"/>
                <w:sz w:val="20"/>
                <w:szCs w:val="20"/>
              </w:rPr>
              <w:t>中国历史文化名村</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9FA771">
            <w:pPr>
              <w:spacing w:after="0"/>
            </w:pPr>
            <w:r>
              <w:rPr>
                <w:rFonts w:ascii="宋体" w:hAnsi="宋体" w:eastAsia="宋体" w:cs="宋体"/>
                <w:sz w:val="20"/>
                <w:szCs w:val="20"/>
              </w:rPr>
              <w:t>依山而建，古驿道，云鹫寺</w:t>
            </w:r>
          </w:p>
        </w:tc>
      </w:tr>
      <w:tr w14:paraId="5F644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D1AFE2">
            <w:pPr>
              <w:spacing w:after="0"/>
            </w:pPr>
            <w:r>
              <w:rPr>
                <w:rFonts w:ascii="宋体" w:hAnsi="宋体" w:eastAsia="宋体" w:cs="宋体"/>
                <w:sz w:val="20"/>
                <w:szCs w:val="20"/>
              </w:rPr>
              <w:t>鲍家屯</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498946A">
            <w:pPr>
              <w:spacing w:after="0"/>
            </w:pPr>
            <w:r>
              <w:rPr>
                <w:rFonts w:ascii="宋体" w:hAnsi="宋体" w:eastAsia="宋体" w:cs="宋体"/>
                <w:sz w:val="20"/>
                <w:szCs w:val="20"/>
              </w:rPr>
              <w:t>西秀区大西桥镇</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A21FC4">
            <w:pPr>
              <w:spacing w:after="0"/>
            </w:pPr>
            <w:r>
              <w:rPr>
                <w:rFonts w:ascii="宋体" w:hAnsi="宋体" w:eastAsia="宋体" w:cs="宋体"/>
                <w:sz w:val="20"/>
                <w:szCs w:val="20"/>
              </w:rPr>
              <w:t>明洪武年间</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A17175D">
            <w:pPr>
              <w:spacing w:after="0"/>
            </w:pPr>
            <w:r>
              <w:rPr>
                <w:rFonts w:ascii="宋体" w:hAnsi="宋体" w:eastAsia="宋体" w:cs="宋体"/>
                <w:sz w:val="20"/>
                <w:szCs w:val="20"/>
              </w:rPr>
              <w:t>省级文物保护单位</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40A8A1">
            <w:pPr>
              <w:spacing w:after="0"/>
            </w:pPr>
            <w:r>
              <w:rPr>
                <w:rFonts w:ascii="宋体" w:hAnsi="宋体" w:eastAsia="宋体" w:cs="宋体"/>
                <w:sz w:val="20"/>
                <w:szCs w:val="20"/>
              </w:rPr>
              <w:t>明代古水利系统</w:t>
            </w:r>
          </w:p>
        </w:tc>
      </w:tr>
      <w:tr w14:paraId="13902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953105">
            <w:pPr>
              <w:spacing w:after="0"/>
            </w:pPr>
            <w:r>
              <w:rPr>
                <w:rFonts w:ascii="宋体" w:hAnsi="宋体" w:eastAsia="宋体" w:cs="宋体"/>
                <w:sz w:val="20"/>
                <w:szCs w:val="20"/>
              </w:rPr>
              <w:t>旧州古镇</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BAE39A">
            <w:pPr>
              <w:spacing w:after="0"/>
            </w:pPr>
            <w:r>
              <w:rPr>
                <w:rFonts w:ascii="宋体" w:hAnsi="宋体" w:eastAsia="宋体" w:cs="宋体"/>
                <w:sz w:val="20"/>
                <w:szCs w:val="20"/>
              </w:rPr>
              <w:t>西秀区旧州镇</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5FF25E">
            <w:pPr>
              <w:spacing w:after="0"/>
            </w:pPr>
            <w:r>
              <w:rPr>
                <w:rFonts w:ascii="宋体" w:hAnsi="宋体" w:eastAsia="宋体" w:cs="宋体"/>
                <w:sz w:val="20"/>
                <w:szCs w:val="20"/>
              </w:rPr>
              <w:t>元至正年间</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F2D2C7">
            <w:pPr>
              <w:spacing w:after="0"/>
            </w:pPr>
            <w:r>
              <w:rPr>
                <w:rFonts w:ascii="宋体" w:hAnsi="宋体" w:eastAsia="宋体" w:cs="宋体"/>
                <w:sz w:val="20"/>
                <w:szCs w:val="20"/>
              </w:rPr>
              <w:t>中国历史文化名镇</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75EC1D">
            <w:pPr>
              <w:spacing w:after="0"/>
            </w:pPr>
            <w:r>
              <w:rPr>
                <w:rFonts w:ascii="宋体" w:hAnsi="宋体" w:eastAsia="宋体" w:cs="宋体"/>
                <w:sz w:val="20"/>
                <w:szCs w:val="20"/>
              </w:rPr>
              <w:t>多元文化交融</w:t>
            </w:r>
          </w:p>
        </w:tc>
      </w:tr>
      <w:tr w14:paraId="5A704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77DC3F">
            <w:pPr>
              <w:spacing w:after="0"/>
            </w:pPr>
            <w:r>
              <w:rPr>
                <w:rFonts w:ascii="宋体" w:hAnsi="宋体" w:eastAsia="宋体" w:cs="宋体"/>
                <w:sz w:val="20"/>
                <w:szCs w:val="20"/>
              </w:rPr>
              <w:t>九溪村</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07FAC3">
            <w:pPr>
              <w:spacing w:after="0"/>
            </w:pPr>
            <w:r>
              <w:rPr>
                <w:rFonts w:ascii="宋体" w:hAnsi="宋体" w:eastAsia="宋体" w:cs="宋体"/>
                <w:sz w:val="20"/>
                <w:szCs w:val="20"/>
              </w:rPr>
              <w:t>西秀区大西桥镇</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C1C2FEE">
            <w:pPr>
              <w:spacing w:after="0"/>
            </w:pPr>
            <w:r>
              <w:rPr>
                <w:rFonts w:ascii="宋体" w:hAnsi="宋体" w:eastAsia="宋体" w:cs="宋体"/>
                <w:sz w:val="20"/>
                <w:szCs w:val="20"/>
              </w:rPr>
              <w:t>明洪武年间</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607FDF9">
            <w:pPr>
              <w:spacing w:after="0"/>
            </w:pPr>
            <w:r>
              <w:rPr>
                <w:rFonts w:ascii="宋体" w:hAnsi="宋体" w:eastAsia="宋体" w:cs="宋体"/>
                <w:sz w:val="20"/>
                <w:szCs w:val="20"/>
              </w:rPr>
              <w:t>传统村落</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73658C8">
            <w:pPr>
              <w:spacing w:after="0"/>
            </w:pPr>
            <w:r>
              <w:rPr>
                <w:rFonts w:ascii="宋体" w:hAnsi="宋体" w:eastAsia="宋体" w:cs="宋体"/>
                <w:sz w:val="20"/>
                <w:szCs w:val="20"/>
              </w:rPr>
              <w:t>地戏传承重镇</w:t>
            </w:r>
          </w:p>
        </w:tc>
      </w:tr>
      <w:tr w14:paraId="04304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B4B36D8">
            <w:pPr>
              <w:spacing w:after="0"/>
            </w:pPr>
            <w:r>
              <w:rPr>
                <w:rFonts w:ascii="宋体" w:hAnsi="宋体" w:eastAsia="宋体" w:cs="宋体"/>
                <w:sz w:val="20"/>
                <w:szCs w:val="20"/>
              </w:rPr>
              <w:t>周官村</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639477">
            <w:pPr>
              <w:spacing w:after="0"/>
            </w:pPr>
            <w:r>
              <w:rPr>
                <w:rFonts w:ascii="宋体" w:hAnsi="宋体" w:eastAsia="宋体" w:cs="宋体"/>
                <w:sz w:val="20"/>
                <w:szCs w:val="20"/>
              </w:rPr>
              <w:t>西秀区刘官乡</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95CD78">
            <w:pPr>
              <w:spacing w:after="0"/>
            </w:pPr>
            <w:r>
              <w:rPr>
                <w:rFonts w:ascii="宋体" w:hAnsi="宋体" w:eastAsia="宋体" w:cs="宋体"/>
                <w:sz w:val="20"/>
                <w:szCs w:val="20"/>
              </w:rPr>
              <w:t>明洪武年间</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1054BA">
            <w:pPr>
              <w:spacing w:after="0"/>
            </w:pPr>
            <w:r>
              <w:rPr>
                <w:rFonts w:ascii="宋体" w:hAnsi="宋体" w:eastAsia="宋体" w:cs="宋体"/>
                <w:sz w:val="20"/>
                <w:szCs w:val="20"/>
              </w:rPr>
              <w:t>传统村落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D11358">
            <w:pPr>
              <w:spacing w:after="0"/>
            </w:pPr>
            <w:r>
              <w:rPr>
                <w:rFonts w:ascii="宋体" w:hAnsi="宋体" w:eastAsia="宋体" w:cs="宋体"/>
                <w:sz w:val="20"/>
                <w:szCs w:val="20"/>
              </w:rPr>
              <w:t>地戏面具雕刻之乡</w:t>
            </w:r>
          </w:p>
        </w:tc>
      </w:tr>
      <w:tr w14:paraId="4A034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20D627">
            <w:pPr>
              <w:spacing w:after="0"/>
            </w:pPr>
            <w:r>
              <w:rPr>
                <w:rFonts w:ascii="宋体" w:hAnsi="宋体" w:eastAsia="宋体" w:cs="宋体"/>
                <w:sz w:val="20"/>
                <w:szCs w:val="20"/>
              </w:rPr>
              <w:t>吉昌屯</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66A6D6">
            <w:pPr>
              <w:spacing w:after="0"/>
            </w:pPr>
            <w:r>
              <w:rPr>
                <w:rFonts w:ascii="宋体" w:hAnsi="宋体" w:eastAsia="宋体" w:cs="宋体"/>
                <w:sz w:val="20"/>
                <w:szCs w:val="20"/>
              </w:rPr>
              <w:t>西秀区大西桥镇</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C4F12A">
            <w:pPr>
              <w:spacing w:after="0"/>
            </w:pPr>
            <w:r>
              <w:rPr>
                <w:rFonts w:ascii="宋体" w:hAnsi="宋体" w:eastAsia="宋体" w:cs="宋体"/>
                <w:sz w:val="20"/>
                <w:szCs w:val="20"/>
              </w:rPr>
              <w:t>明洪武年间</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C0BEE0">
            <w:pPr>
              <w:spacing w:after="0"/>
            </w:pPr>
            <w:r>
              <w:rPr>
                <w:rFonts w:ascii="宋体" w:hAnsi="宋体" w:eastAsia="宋体" w:cs="宋体"/>
                <w:sz w:val="20"/>
                <w:szCs w:val="20"/>
              </w:rPr>
              <w:t>传统村落</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050807">
            <w:pPr>
              <w:spacing w:after="0"/>
            </w:pPr>
            <w:r>
              <w:rPr>
                <w:rFonts w:ascii="宋体" w:hAnsi="宋体" w:eastAsia="宋体" w:cs="宋体"/>
                <w:sz w:val="20"/>
                <w:szCs w:val="20"/>
              </w:rPr>
              <w:t>"抬汪公"仪式最隆重</w:t>
            </w:r>
          </w:p>
        </w:tc>
      </w:tr>
      <w:tr w14:paraId="53C48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3418BC">
            <w:pPr>
              <w:spacing w:after="0"/>
            </w:pPr>
            <w:r>
              <w:rPr>
                <w:rFonts w:ascii="宋体" w:hAnsi="宋体" w:eastAsia="宋体" w:cs="宋体"/>
                <w:sz w:val="20"/>
                <w:szCs w:val="20"/>
              </w:rPr>
              <w:t>狗场屯</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947345">
            <w:pPr>
              <w:spacing w:after="0"/>
            </w:pPr>
            <w:r>
              <w:rPr>
                <w:rFonts w:ascii="宋体" w:hAnsi="宋体" w:eastAsia="宋体" w:cs="宋体"/>
                <w:sz w:val="20"/>
                <w:szCs w:val="20"/>
              </w:rPr>
              <w:t>西秀区大西桥镇</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4BB2EA">
            <w:pPr>
              <w:spacing w:after="0"/>
            </w:pPr>
            <w:r>
              <w:rPr>
                <w:rFonts w:ascii="宋体" w:hAnsi="宋体" w:eastAsia="宋体" w:cs="宋体"/>
                <w:sz w:val="20"/>
                <w:szCs w:val="20"/>
              </w:rPr>
              <w:t>明洪武年间</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3A788A">
            <w:pPr>
              <w:spacing w:after="0"/>
            </w:pPr>
            <w:r>
              <w:rPr>
                <w:rFonts w:ascii="宋体" w:hAnsi="宋体" w:eastAsia="宋体" w:cs="宋体"/>
                <w:sz w:val="20"/>
                <w:szCs w:val="20"/>
              </w:rPr>
              <w:t>传统村落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B84C5D">
            <w:pPr>
              <w:spacing w:after="0"/>
            </w:pPr>
            <w:r>
              <w:rPr>
                <w:rFonts w:ascii="宋体" w:hAnsi="宋体" w:eastAsia="宋体" w:cs="宋体"/>
                <w:sz w:val="20"/>
                <w:szCs w:val="20"/>
              </w:rPr>
              <w:t>屯堡饮食文化代表</w:t>
            </w:r>
          </w:p>
        </w:tc>
      </w:tr>
      <w:tr w14:paraId="5F742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A2763A">
            <w:pPr>
              <w:spacing w:after="0"/>
            </w:pPr>
            <w:r>
              <w:rPr>
                <w:rFonts w:ascii="宋体" w:hAnsi="宋体" w:eastAsia="宋体" w:cs="宋体"/>
                <w:sz w:val="20"/>
                <w:szCs w:val="20"/>
              </w:rPr>
              <w:t>雷屯</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A33F7A">
            <w:pPr>
              <w:spacing w:after="0"/>
            </w:pPr>
            <w:r>
              <w:rPr>
                <w:rFonts w:ascii="宋体" w:hAnsi="宋体" w:eastAsia="宋体" w:cs="宋体"/>
                <w:sz w:val="20"/>
                <w:szCs w:val="20"/>
              </w:rPr>
              <w:t>西秀区七眼桥镇</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4054E98">
            <w:pPr>
              <w:spacing w:after="0"/>
            </w:pPr>
            <w:r>
              <w:rPr>
                <w:rFonts w:ascii="宋体" w:hAnsi="宋体" w:eastAsia="宋体" w:cs="宋体"/>
                <w:sz w:val="20"/>
                <w:szCs w:val="20"/>
              </w:rPr>
              <w:t>明洪武年间</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897AB1C">
            <w:pPr>
              <w:spacing w:after="0"/>
            </w:pPr>
            <w:r>
              <w:rPr>
                <w:rFonts w:ascii="宋体" w:hAnsi="宋体" w:eastAsia="宋体" w:cs="宋体"/>
                <w:sz w:val="20"/>
                <w:szCs w:val="20"/>
              </w:rPr>
              <w:t>传统村落</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414634C">
            <w:pPr>
              <w:spacing w:after="0"/>
            </w:pPr>
            <w:r>
              <w:rPr>
                <w:rFonts w:ascii="宋体" w:hAnsi="宋体" w:eastAsia="宋体" w:cs="宋体"/>
                <w:sz w:val="20"/>
                <w:szCs w:val="20"/>
              </w:rPr>
              <w:t>石头建筑工艺精湛</w:t>
            </w:r>
          </w:p>
        </w:tc>
      </w:tr>
      <w:tr w14:paraId="21AB8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ED5D07">
            <w:pPr>
              <w:spacing w:after="0"/>
            </w:pPr>
            <w:r>
              <w:rPr>
                <w:rFonts w:ascii="宋体" w:hAnsi="宋体" w:eastAsia="宋体" w:cs="宋体"/>
                <w:sz w:val="20"/>
                <w:szCs w:val="20"/>
              </w:rPr>
              <w:t>章庄村</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76437F">
            <w:pPr>
              <w:spacing w:after="0"/>
            </w:pPr>
            <w:r>
              <w:rPr>
                <w:rFonts w:ascii="宋体" w:hAnsi="宋体" w:eastAsia="宋体" w:cs="宋体"/>
                <w:sz w:val="20"/>
                <w:szCs w:val="20"/>
              </w:rPr>
              <w:t>西秀区七眼桥镇</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990AE7">
            <w:pPr>
              <w:spacing w:after="0"/>
            </w:pPr>
            <w:r>
              <w:rPr>
                <w:rFonts w:ascii="宋体" w:hAnsi="宋体" w:eastAsia="宋体" w:cs="宋体"/>
                <w:sz w:val="20"/>
                <w:szCs w:val="20"/>
              </w:rPr>
              <w:t>明洪武年间</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EE6D20">
            <w:pPr>
              <w:spacing w:after="0"/>
            </w:pPr>
            <w:r>
              <w:rPr>
                <w:rFonts w:ascii="宋体" w:hAnsi="宋体" w:eastAsia="宋体" w:cs="宋体"/>
                <w:sz w:val="20"/>
                <w:szCs w:val="20"/>
              </w:rPr>
              <w:t>传统村落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B4B29F">
            <w:pPr>
              <w:spacing w:after="0"/>
            </w:pPr>
            <w:r>
              <w:rPr>
                <w:rFonts w:ascii="宋体" w:hAnsi="宋体" w:eastAsia="宋体" w:cs="宋体"/>
                <w:sz w:val="20"/>
                <w:szCs w:val="20"/>
              </w:rPr>
              <w:t>地戏传承活跃</w:t>
            </w:r>
          </w:p>
        </w:tc>
      </w:tr>
      <w:tr w14:paraId="39D22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096B30">
            <w:pPr>
              <w:spacing w:after="0"/>
            </w:pPr>
            <w:r>
              <w:rPr>
                <w:rFonts w:ascii="宋体" w:hAnsi="宋体" w:eastAsia="宋体" w:cs="宋体"/>
                <w:sz w:val="20"/>
                <w:szCs w:val="20"/>
              </w:rPr>
              <w:t>傅家寨</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2AFD98">
            <w:pPr>
              <w:spacing w:after="0"/>
            </w:pPr>
            <w:r>
              <w:rPr>
                <w:rFonts w:ascii="宋体" w:hAnsi="宋体" w:eastAsia="宋体" w:cs="宋体"/>
                <w:sz w:val="20"/>
                <w:szCs w:val="20"/>
              </w:rPr>
              <w:t>西秀区刘官乡</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03F040">
            <w:pPr>
              <w:spacing w:after="0"/>
            </w:pPr>
            <w:r>
              <w:rPr>
                <w:rFonts w:ascii="宋体" w:hAnsi="宋体" w:eastAsia="宋体" w:cs="宋体"/>
                <w:sz w:val="20"/>
                <w:szCs w:val="20"/>
              </w:rPr>
              <w:t>明洪武年间</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0254B7">
            <w:pPr>
              <w:spacing w:after="0"/>
            </w:pPr>
            <w:r>
              <w:rPr>
                <w:rFonts w:ascii="宋体" w:hAnsi="宋体" w:eastAsia="宋体" w:cs="宋体"/>
                <w:sz w:val="20"/>
                <w:szCs w:val="20"/>
              </w:rPr>
              <w:t>传统村落</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02B839">
            <w:pPr>
              <w:spacing w:after="0"/>
            </w:pPr>
            <w:r>
              <w:rPr>
                <w:rFonts w:ascii="宋体" w:hAnsi="宋体" w:eastAsia="宋体" w:cs="宋体"/>
                <w:sz w:val="20"/>
                <w:szCs w:val="20"/>
              </w:rPr>
              <w:t>与傅友德相关的历史遗迹</w:t>
            </w:r>
          </w:p>
        </w:tc>
      </w:tr>
    </w:tbl>
    <w:p w14:paraId="23CFEA08">
      <w:pPr>
        <w:pStyle w:val="3"/>
        <w:spacing w:before="300" w:after="200"/>
      </w:pPr>
      <w:bookmarkStart w:id="358" w:name="_Toc9466"/>
      <w:r>
        <w:rPr>
          <w:rFonts w:ascii="黑体" w:hAnsi="黑体" w:eastAsia="黑体" w:cs="黑体"/>
          <w:b/>
          <w:bCs/>
          <w:color w:val="000000"/>
          <w:sz w:val="28"/>
          <w:szCs w:val="28"/>
        </w:rPr>
        <w:t>B.2 天龙屯堡主要建筑</w:t>
      </w:r>
      <w:bookmarkEnd w:id="358"/>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67820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680051E">
            <w:pPr>
              <w:spacing w:after="0"/>
            </w:pPr>
            <w:r>
              <w:rPr>
                <w:rFonts w:ascii="宋体" w:hAnsi="宋体" w:eastAsia="宋体" w:cs="宋体"/>
                <w:b/>
                <w:bCs/>
                <w:color w:val="FFFFFF"/>
                <w:sz w:val="20"/>
                <w:szCs w:val="20"/>
              </w:rPr>
              <w:t>建筑名称</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A3CECCD">
            <w:pPr>
              <w:spacing w:after="0"/>
            </w:pPr>
            <w:r>
              <w:rPr>
                <w:rFonts w:ascii="宋体" w:hAnsi="宋体" w:eastAsia="宋体" w:cs="宋体"/>
                <w:b/>
                <w:bCs/>
                <w:color w:val="FFFFFF"/>
                <w:sz w:val="20"/>
                <w:szCs w:val="20"/>
              </w:rPr>
              <w:t>类型</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302545F">
            <w:pPr>
              <w:spacing w:after="0"/>
            </w:pPr>
            <w:r>
              <w:rPr>
                <w:rFonts w:ascii="宋体" w:hAnsi="宋体" w:eastAsia="宋体" w:cs="宋体"/>
                <w:b/>
                <w:bCs/>
                <w:color w:val="FFFFFF"/>
                <w:sz w:val="20"/>
                <w:szCs w:val="20"/>
              </w:rPr>
              <w:t>年代</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33667CB">
            <w:pPr>
              <w:spacing w:after="0"/>
            </w:pPr>
            <w:r>
              <w:rPr>
                <w:rFonts w:ascii="宋体" w:hAnsi="宋体" w:eastAsia="宋体" w:cs="宋体"/>
                <w:b/>
                <w:bCs/>
                <w:color w:val="FFFFFF"/>
                <w:sz w:val="20"/>
                <w:szCs w:val="20"/>
              </w:rPr>
              <w:t>保存状况</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F776B6D">
            <w:pPr>
              <w:spacing w:after="0"/>
            </w:pPr>
            <w:r>
              <w:rPr>
                <w:rFonts w:ascii="宋体" w:hAnsi="宋体" w:eastAsia="宋体" w:cs="宋体"/>
                <w:b/>
                <w:bCs/>
                <w:color w:val="FFFFFF"/>
                <w:sz w:val="20"/>
                <w:szCs w:val="20"/>
              </w:rPr>
              <w:t>特色说明</w:t>
            </w:r>
          </w:p>
        </w:tc>
      </w:tr>
      <w:tr w14:paraId="51F0D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02E2D79">
            <w:pPr>
              <w:spacing w:after="0"/>
            </w:pPr>
            <w:r>
              <w:rPr>
                <w:rFonts w:ascii="宋体" w:hAnsi="宋体" w:eastAsia="宋体" w:cs="宋体"/>
                <w:sz w:val="20"/>
                <w:szCs w:val="20"/>
              </w:rPr>
              <w:t>天龙屯堡寨门</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4726370">
            <w:pPr>
              <w:spacing w:after="0"/>
            </w:pPr>
            <w:r>
              <w:rPr>
                <w:rFonts w:ascii="宋体" w:hAnsi="宋体" w:eastAsia="宋体" w:cs="宋体"/>
                <w:sz w:val="20"/>
                <w:szCs w:val="20"/>
              </w:rPr>
              <w:t>寨门</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6FCC46">
            <w:pPr>
              <w:spacing w:after="0"/>
            </w:pPr>
            <w:r>
              <w:rPr>
                <w:rFonts w:ascii="宋体" w:hAnsi="宋体" w:eastAsia="宋体" w:cs="宋体"/>
                <w:sz w:val="20"/>
                <w:szCs w:val="20"/>
              </w:rPr>
              <w:t>明代始建，清代重修</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0FA2A6">
            <w:pPr>
              <w:spacing w:after="0"/>
            </w:pPr>
            <w:r>
              <w:rPr>
                <w:rFonts w:ascii="宋体" w:hAnsi="宋体" w:eastAsia="宋体" w:cs="宋体"/>
                <w:sz w:val="20"/>
                <w:szCs w:val="20"/>
              </w:rPr>
              <w:t>良好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6A79AA">
            <w:pPr>
              <w:spacing w:after="0"/>
            </w:pPr>
            <w:r>
              <w:rPr>
                <w:rFonts w:ascii="宋体" w:hAnsi="宋体" w:eastAsia="宋体" w:cs="宋体"/>
                <w:sz w:val="20"/>
                <w:szCs w:val="20"/>
              </w:rPr>
              <w:t>石砌拱券门，上有门楼</w:t>
            </w:r>
          </w:p>
        </w:tc>
      </w:tr>
      <w:tr w14:paraId="7D9D0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E44ABF">
            <w:pPr>
              <w:spacing w:after="0"/>
            </w:pPr>
            <w:r>
              <w:rPr>
                <w:rFonts w:ascii="宋体" w:hAnsi="宋体" w:eastAsia="宋体" w:cs="宋体"/>
                <w:sz w:val="20"/>
                <w:szCs w:val="20"/>
              </w:rPr>
              <w:t>沈万三故居</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9257CB">
            <w:pPr>
              <w:spacing w:after="0"/>
            </w:pPr>
            <w:r>
              <w:rPr>
                <w:rFonts w:ascii="宋体" w:hAnsi="宋体" w:eastAsia="宋体" w:cs="宋体"/>
                <w:sz w:val="20"/>
                <w:szCs w:val="20"/>
              </w:rPr>
              <w:t>民居</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530D1D">
            <w:pPr>
              <w:spacing w:after="0"/>
            </w:pPr>
            <w:r>
              <w:rPr>
                <w:rFonts w:ascii="宋体" w:hAnsi="宋体" w:eastAsia="宋体" w:cs="宋体"/>
                <w:sz w:val="20"/>
                <w:szCs w:val="20"/>
              </w:rPr>
              <w:t>明代</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92DD6A">
            <w:pPr>
              <w:spacing w:after="0"/>
            </w:pPr>
            <w:r>
              <w:rPr>
                <w:rFonts w:ascii="宋体" w:hAnsi="宋体" w:eastAsia="宋体" w:cs="宋体"/>
                <w:sz w:val="20"/>
                <w:szCs w:val="20"/>
              </w:rPr>
              <w:t>经修缮</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153D62">
            <w:pPr>
              <w:spacing w:after="0"/>
            </w:pPr>
            <w:r>
              <w:rPr>
                <w:rFonts w:ascii="宋体" w:hAnsi="宋体" w:eastAsia="宋体" w:cs="宋体"/>
                <w:sz w:val="20"/>
                <w:szCs w:val="20"/>
              </w:rPr>
              <w:t>传为明初富商沈万三流放时的居所</w:t>
            </w:r>
          </w:p>
        </w:tc>
      </w:tr>
      <w:tr w14:paraId="51EDD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B92CD3">
            <w:pPr>
              <w:spacing w:after="0"/>
            </w:pPr>
            <w:r>
              <w:rPr>
                <w:rFonts w:ascii="宋体" w:hAnsi="宋体" w:eastAsia="宋体" w:cs="宋体"/>
                <w:sz w:val="20"/>
                <w:szCs w:val="20"/>
              </w:rPr>
              <w:t>天龙学堂旧址</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DF3C7D">
            <w:pPr>
              <w:spacing w:after="0"/>
            </w:pPr>
            <w:r>
              <w:rPr>
                <w:rFonts w:ascii="宋体" w:hAnsi="宋体" w:eastAsia="宋体" w:cs="宋体"/>
                <w:sz w:val="20"/>
                <w:szCs w:val="20"/>
              </w:rPr>
              <w:t>公共建筑</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A6B89C6">
            <w:pPr>
              <w:spacing w:after="0"/>
            </w:pPr>
            <w:r>
              <w:rPr>
                <w:rFonts w:ascii="宋体" w:hAnsi="宋体" w:eastAsia="宋体" w:cs="宋体"/>
                <w:sz w:val="20"/>
                <w:szCs w:val="20"/>
              </w:rPr>
              <w:t>清代</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848764">
            <w:pPr>
              <w:spacing w:after="0"/>
            </w:pPr>
            <w:r>
              <w:rPr>
                <w:rFonts w:ascii="宋体" w:hAnsi="宋体" w:eastAsia="宋体" w:cs="宋体"/>
                <w:sz w:val="20"/>
                <w:szCs w:val="20"/>
              </w:rPr>
              <w:t>良好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B6594F">
            <w:pPr>
              <w:spacing w:after="0"/>
            </w:pPr>
            <w:r>
              <w:rPr>
                <w:rFonts w:ascii="宋体" w:hAnsi="宋体" w:eastAsia="宋体" w:cs="宋体"/>
                <w:sz w:val="20"/>
                <w:szCs w:val="20"/>
              </w:rPr>
              <w:t>屯堡地区最早的近代学校之一</w:t>
            </w:r>
          </w:p>
        </w:tc>
      </w:tr>
      <w:tr w14:paraId="433D2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D7DCD0">
            <w:pPr>
              <w:spacing w:after="0"/>
            </w:pPr>
            <w:r>
              <w:rPr>
                <w:rFonts w:ascii="宋体" w:hAnsi="宋体" w:eastAsia="宋体" w:cs="宋体"/>
                <w:sz w:val="20"/>
                <w:szCs w:val="20"/>
              </w:rPr>
              <w:t>演武场</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2049B1">
            <w:pPr>
              <w:spacing w:after="0"/>
            </w:pPr>
            <w:r>
              <w:rPr>
                <w:rFonts w:ascii="宋体" w:hAnsi="宋体" w:eastAsia="宋体" w:cs="宋体"/>
                <w:sz w:val="20"/>
                <w:szCs w:val="20"/>
              </w:rPr>
              <w:t>公共空间</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4035A2">
            <w:pPr>
              <w:spacing w:after="0"/>
            </w:pPr>
            <w:r>
              <w:rPr>
                <w:rFonts w:ascii="宋体" w:hAnsi="宋体" w:eastAsia="宋体" w:cs="宋体"/>
                <w:sz w:val="20"/>
                <w:szCs w:val="20"/>
              </w:rPr>
              <w:t>明代</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ECBDA9">
            <w:pPr>
              <w:spacing w:after="0"/>
            </w:pPr>
            <w:r>
              <w:rPr>
                <w:rFonts w:ascii="宋体" w:hAnsi="宋体" w:eastAsia="宋体" w:cs="宋体"/>
                <w:sz w:val="20"/>
                <w:szCs w:val="20"/>
              </w:rPr>
              <w:t>完好</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7728A2">
            <w:pPr>
              <w:spacing w:after="0"/>
            </w:pPr>
            <w:r>
              <w:rPr>
                <w:rFonts w:ascii="宋体" w:hAnsi="宋体" w:eastAsia="宋体" w:cs="宋体"/>
                <w:sz w:val="20"/>
                <w:szCs w:val="20"/>
              </w:rPr>
              <w:t>地戏表演和节庆活动的主要场所</w:t>
            </w:r>
          </w:p>
        </w:tc>
      </w:tr>
      <w:tr w14:paraId="7B89A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5B5206">
            <w:pPr>
              <w:spacing w:after="0"/>
            </w:pPr>
            <w:r>
              <w:rPr>
                <w:rFonts w:ascii="宋体" w:hAnsi="宋体" w:eastAsia="宋体" w:cs="宋体"/>
                <w:sz w:val="20"/>
                <w:szCs w:val="20"/>
              </w:rPr>
              <w:t>天龙屯堡主巷道</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8D26FF">
            <w:pPr>
              <w:spacing w:after="0"/>
            </w:pPr>
            <w:r>
              <w:rPr>
                <w:rFonts w:ascii="宋体" w:hAnsi="宋体" w:eastAsia="宋体" w:cs="宋体"/>
                <w:sz w:val="20"/>
                <w:szCs w:val="20"/>
              </w:rPr>
              <w:t>巷道</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598198">
            <w:pPr>
              <w:spacing w:after="0"/>
            </w:pPr>
            <w:r>
              <w:rPr>
                <w:rFonts w:ascii="宋体" w:hAnsi="宋体" w:eastAsia="宋体" w:cs="宋体"/>
                <w:sz w:val="20"/>
                <w:szCs w:val="20"/>
              </w:rPr>
              <w:t>明代</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CA3293">
            <w:pPr>
              <w:spacing w:after="0"/>
            </w:pPr>
            <w:r>
              <w:rPr>
                <w:rFonts w:ascii="宋体" w:hAnsi="宋体" w:eastAsia="宋体" w:cs="宋体"/>
                <w:sz w:val="20"/>
                <w:szCs w:val="20"/>
              </w:rPr>
              <w:t>完好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8C8F9A">
            <w:pPr>
              <w:spacing w:after="0"/>
            </w:pPr>
            <w:r>
              <w:rPr>
                <w:rFonts w:ascii="宋体" w:hAnsi="宋体" w:eastAsia="宋体" w:cs="宋体"/>
                <w:sz w:val="20"/>
                <w:szCs w:val="20"/>
              </w:rPr>
              <w:t>石板铺砌，两侧石墙高耸</w:t>
            </w:r>
          </w:p>
        </w:tc>
      </w:tr>
      <w:tr w14:paraId="4ABA3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409B32">
            <w:pPr>
              <w:spacing w:after="0"/>
            </w:pPr>
            <w:r>
              <w:rPr>
                <w:rFonts w:ascii="宋体" w:hAnsi="宋体" w:eastAsia="宋体" w:cs="宋体"/>
                <w:sz w:val="20"/>
                <w:szCs w:val="20"/>
              </w:rPr>
              <w:t>郑家老宅</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C9234B">
            <w:pPr>
              <w:spacing w:after="0"/>
            </w:pPr>
            <w:r>
              <w:rPr>
                <w:rFonts w:ascii="宋体" w:hAnsi="宋体" w:eastAsia="宋体" w:cs="宋体"/>
                <w:sz w:val="20"/>
                <w:szCs w:val="20"/>
              </w:rPr>
              <w:t>民居</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0BE9C9">
            <w:pPr>
              <w:spacing w:after="0"/>
            </w:pPr>
            <w:r>
              <w:rPr>
                <w:rFonts w:ascii="宋体" w:hAnsi="宋体" w:eastAsia="宋体" w:cs="宋体"/>
                <w:sz w:val="20"/>
                <w:szCs w:val="20"/>
              </w:rPr>
              <w:t>清代</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8C13E1">
            <w:pPr>
              <w:spacing w:after="0"/>
            </w:pPr>
            <w:r>
              <w:rPr>
                <w:rFonts w:ascii="宋体" w:hAnsi="宋体" w:eastAsia="宋体" w:cs="宋体"/>
                <w:sz w:val="20"/>
                <w:szCs w:val="20"/>
              </w:rPr>
              <w:t>经修缮</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6EA1793">
            <w:pPr>
              <w:spacing w:after="0"/>
            </w:pPr>
            <w:r>
              <w:rPr>
                <w:rFonts w:ascii="宋体" w:hAnsi="宋体" w:eastAsia="宋体" w:cs="宋体"/>
                <w:sz w:val="20"/>
                <w:szCs w:val="20"/>
              </w:rPr>
              <w:t>典型的屯堡三合院，现为民宿</w:t>
            </w:r>
          </w:p>
        </w:tc>
      </w:tr>
    </w:tbl>
    <w:p w14:paraId="78E340A1">
      <w:pPr>
        <w:pStyle w:val="3"/>
        <w:spacing w:before="300" w:after="200"/>
      </w:pPr>
      <w:bookmarkStart w:id="359" w:name="_Toc27430"/>
      <w:r>
        <w:rPr>
          <w:rFonts w:ascii="黑体" w:hAnsi="黑体" w:eastAsia="黑体" w:cs="黑体"/>
          <w:b/>
          <w:bCs/>
          <w:color w:val="000000"/>
          <w:sz w:val="28"/>
          <w:szCs w:val="28"/>
        </w:rPr>
        <w:t>B.3 本寨主要建筑</w:t>
      </w:r>
      <w:bookmarkEnd w:id="35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4DCA4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A3CB705">
            <w:pPr>
              <w:spacing w:after="0"/>
            </w:pPr>
            <w:r>
              <w:rPr>
                <w:rFonts w:ascii="宋体" w:hAnsi="宋体" w:eastAsia="宋体" w:cs="宋体"/>
                <w:b/>
                <w:bCs/>
                <w:color w:val="FFFFFF"/>
                <w:sz w:val="20"/>
                <w:szCs w:val="20"/>
              </w:rPr>
              <w:t>建筑名称</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5D6AF84">
            <w:pPr>
              <w:spacing w:after="0"/>
            </w:pPr>
            <w:r>
              <w:rPr>
                <w:rFonts w:ascii="宋体" w:hAnsi="宋体" w:eastAsia="宋体" w:cs="宋体"/>
                <w:b/>
                <w:bCs/>
                <w:color w:val="FFFFFF"/>
                <w:sz w:val="20"/>
                <w:szCs w:val="20"/>
              </w:rPr>
              <w:t>类型</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531F852">
            <w:pPr>
              <w:spacing w:after="0"/>
            </w:pPr>
            <w:r>
              <w:rPr>
                <w:rFonts w:ascii="宋体" w:hAnsi="宋体" w:eastAsia="宋体" w:cs="宋体"/>
                <w:b/>
                <w:bCs/>
                <w:color w:val="FFFFFF"/>
                <w:sz w:val="20"/>
                <w:szCs w:val="20"/>
              </w:rPr>
              <w:t>年代</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ADFF5C2">
            <w:pPr>
              <w:spacing w:after="0"/>
            </w:pPr>
            <w:r>
              <w:rPr>
                <w:rFonts w:ascii="宋体" w:hAnsi="宋体" w:eastAsia="宋体" w:cs="宋体"/>
                <w:b/>
                <w:bCs/>
                <w:color w:val="FFFFFF"/>
                <w:sz w:val="20"/>
                <w:szCs w:val="20"/>
              </w:rPr>
              <w:t>保存状况</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F5DBD6D">
            <w:pPr>
              <w:spacing w:after="0"/>
            </w:pPr>
            <w:r>
              <w:rPr>
                <w:rFonts w:ascii="宋体" w:hAnsi="宋体" w:eastAsia="宋体" w:cs="宋体"/>
                <w:b/>
                <w:bCs/>
                <w:color w:val="FFFFFF"/>
                <w:sz w:val="20"/>
                <w:szCs w:val="20"/>
              </w:rPr>
              <w:t>特色说明</w:t>
            </w:r>
          </w:p>
        </w:tc>
      </w:tr>
      <w:tr w14:paraId="11810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FC05F9">
            <w:pPr>
              <w:spacing w:after="0"/>
            </w:pPr>
            <w:r>
              <w:rPr>
                <w:rFonts w:ascii="宋体" w:hAnsi="宋体" w:eastAsia="宋体" w:cs="宋体"/>
                <w:sz w:val="20"/>
                <w:szCs w:val="20"/>
              </w:rPr>
              <w:t>杨家老宅</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F769C0">
            <w:pPr>
              <w:spacing w:after="0"/>
            </w:pPr>
            <w:r>
              <w:rPr>
                <w:rFonts w:ascii="宋体" w:hAnsi="宋体" w:eastAsia="宋体" w:cs="宋体"/>
                <w:sz w:val="20"/>
                <w:szCs w:val="20"/>
              </w:rPr>
              <w:t>民居</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BEE554">
            <w:pPr>
              <w:spacing w:after="0"/>
            </w:pPr>
            <w:r>
              <w:rPr>
                <w:rFonts w:ascii="宋体" w:hAnsi="宋体" w:eastAsia="宋体" w:cs="宋体"/>
                <w:sz w:val="20"/>
                <w:szCs w:val="20"/>
              </w:rPr>
              <w:t>清道光年间</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874260">
            <w:pPr>
              <w:spacing w:after="0"/>
            </w:pPr>
            <w:r>
              <w:rPr>
                <w:rFonts w:ascii="宋体" w:hAnsi="宋体" w:eastAsia="宋体" w:cs="宋体"/>
                <w:sz w:val="20"/>
                <w:szCs w:val="20"/>
              </w:rPr>
              <w:t>良好（已修缮）</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CB554B">
            <w:pPr>
              <w:spacing w:after="0"/>
            </w:pPr>
            <w:r>
              <w:rPr>
                <w:rFonts w:ascii="宋体" w:hAnsi="宋体" w:eastAsia="宋体" w:cs="宋体"/>
                <w:sz w:val="20"/>
                <w:szCs w:val="20"/>
              </w:rPr>
              <w:t>三进四合院，木雕石雕工艺精湛</w:t>
            </w:r>
          </w:p>
        </w:tc>
      </w:tr>
      <w:tr w14:paraId="3EF36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AEE6C6">
            <w:pPr>
              <w:spacing w:after="0"/>
            </w:pPr>
            <w:r>
              <w:rPr>
                <w:rFonts w:ascii="宋体" w:hAnsi="宋体" w:eastAsia="宋体" w:cs="宋体"/>
                <w:sz w:val="20"/>
                <w:szCs w:val="20"/>
              </w:rPr>
              <w:t>王家大院</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C3BB1A">
            <w:pPr>
              <w:spacing w:after="0"/>
            </w:pPr>
            <w:r>
              <w:rPr>
                <w:rFonts w:ascii="宋体" w:hAnsi="宋体" w:eastAsia="宋体" w:cs="宋体"/>
                <w:sz w:val="20"/>
                <w:szCs w:val="20"/>
              </w:rPr>
              <w:t>民居</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4B6077">
            <w:pPr>
              <w:spacing w:after="0"/>
            </w:pPr>
            <w:r>
              <w:rPr>
                <w:rFonts w:ascii="宋体" w:hAnsi="宋体" w:eastAsia="宋体" w:cs="宋体"/>
                <w:sz w:val="20"/>
                <w:szCs w:val="20"/>
              </w:rPr>
              <w:t>清代</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956A48F">
            <w:pPr>
              <w:spacing w:after="0"/>
            </w:pPr>
            <w:r>
              <w:rPr>
                <w:rFonts w:ascii="宋体" w:hAnsi="宋体" w:eastAsia="宋体" w:cs="宋体"/>
                <w:sz w:val="20"/>
                <w:szCs w:val="20"/>
              </w:rPr>
              <w:t>良好（已修缮）</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FABF43">
            <w:pPr>
              <w:spacing w:after="0"/>
            </w:pPr>
            <w:r>
              <w:rPr>
                <w:rFonts w:ascii="宋体" w:hAnsi="宋体" w:eastAsia="宋体" w:cs="宋体"/>
                <w:sz w:val="20"/>
                <w:szCs w:val="20"/>
              </w:rPr>
              <w:t>屯堡最大的四合院之一，占地约1000平方米</w:t>
            </w:r>
          </w:p>
        </w:tc>
      </w:tr>
      <w:tr w14:paraId="28780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F5677F">
            <w:pPr>
              <w:spacing w:after="0"/>
            </w:pPr>
            <w:r>
              <w:rPr>
                <w:rFonts w:ascii="宋体" w:hAnsi="宋体" w:eastAsia="宋体" w:cs="宋体"/>
                <w:sz w:val="20"/>
                <w:szCs w:val="20"/>
              </w:rPr>
              <w:t>本寨寨门</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8C19D5">
            <w:pPr>
              <w:spacing w:after="0"/>
            </w:pPr>
            <w:r>
              <w:rPr>
                <w:rFonts w:ascii="宋体" w:hAnsi="宋体" w:eastAsia="宋体" w:cs="宋体"/>
                <w:sz w:val="20"/>
                <w:szCs w:val="20"/>
              </w:rPr>
              <w:t>寨门</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76E1501">
            <w:pPr>
              <w:spacing w:after="0"/>
            </w:pPr>
            <w:r>
              <w:rPr>
                <w:rFonts w:ascii="宋体" w:hAnsi="宋体" w:eastAsia="宋体" w:cs="宋体"/>
                <w:sz w:val="20"/>
                <w:szCs w:val="20"/>
              </w:rPr>
              <w:t>明代</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0EA586B">
            <w:pPr>
              <w:spacing w:after="0"/>
            </w:pPr>
            <w:r>
              <w:rPr>
                <w:rFonts w:ascii="宋体" w:hAnsi="宋体" w:eastAsia="宋体" w:cs="宋体"/>
                <w:sz w:val="20"/>
                <w:szCs w:val="20"/>
              </w:rPr>
              <w:t>良好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952DB8">
            <w:pPr>
              <w:spacing w:after="0"/>
            </w:pPr>
            <w:r>
              <w:rPr>
                <w:rFonts w:ascii="宋体" w:hAnsi="宋体" w:eastAsia="宋体" w:cs="宋体"/>
                <w:sz w:val="20"/>
                <w:szCs w:val="20"/>
              </w:rPr>
              <w:t>双层石砌门楼</w:t>
            </w:r>
          </w:p>
        </w:tc>
      </w:tr>
      <w:tr w14:paraId="5174D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2CF7CB">
            <w:pPr>
              <w:spacing w:after="0"/>
            </w:pPr>
            <w:r>
              <w:rPr>
                <w:rFonts w:ascii="宋体" w:hAnsi="宋体" w:eastAsia="宋体" w:cs="宋体"/>
                <w:sz w:val="20"/>
                <w:szCs w:val="20"/>
              </w:rPr>
              <w:t>本寨碉楼</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49BBCD">
            <w:pPr>
              <w:spacing w:after="0"/>
            </w:pPr>
            <w:r>
              <w:rPr>
                <w:rFonts w:ascii="宋体" w:hAnsi="宋体" w:eastAsia="宋体" w:cs="宋体"/>
                <w:sz w:val="20"/>
                <w:szCs w:val="20"/>
              </w:rPr>
              <w:t>碉楼</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6A982D">
            <w:pPr>
              <w:spacing w:after="0"/>
            </w:pPr>
            <w:r>
              <w:rPr>
                <w:rFonts w:ascii="宋体" w:hAnsi="宋体" w:eastAsia="宋体" w:cs="宋体"/>
                <w:sz w:val="20"/>
                <w:szCs w:val="20"/>
              </w:rPr>
              <w:t>清代</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8C5E54">
            <w:pPr>
              <w:spacing w:after="0"/>
            </w:pPr>
            <w:r>
              <w:rPr>
                <w:rFonts w:ascii="宋体" w:hAnsi="宋体" w:eastAsia="宋体" w:cs="宋体"/>
                <w:sz w:val="20"/>
                <w:szCs w:val="20"/>
              </w:rPr>
              <w:t>良好</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FB93F7">
            <w:pPr>
              <w:spacing w:after="0"/>
            </w:pPr>
            <w:r>
              <w:rPr>
                <w:rFonts w:ascii="宋体" w:hAnsi="宋体" w:eastAsia="宋体" w:cs="宋体"/>
                <w:sz w:val="20"/>
                <w:szCs w:val="20"/>
              </w:rPr>
              <w:t>高四层，可俯瞰全村</w:t>
            </w:r>
          </w:p>
        </w:tc>
      </w:tr>
      <w:tr w14:paraId="25020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F0BD1C2">
            <w:pPr>
              <w:spacing w:after="0"/>
            </w:pPr>
            <w:r>
              <w:rPr>
                <w:rFonts w:ascii="宋体" w:hAnsi="宋体" w:eastAsia="宋体" w:cs="宋体"/>
                <w:sz w:val="20"/>
                <w:szCs w:val="20"/>
              </w:rPr>
              <w:t>金家老宅</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C50034D">
            <w:pPr>
              <w:spacing w:after="0"/>
            </w:pPr>
            <w:r>
              <w:rPr>
                <w:rFonts w:ascii="宋体" w:hAnsi="宋体" w:eastAsia="宋体" w:cs="宋体"/>
                <w:sz w:val="20"/>
                <w:szCs w:val="20"/>
              </w:rPr>
              <w:t>民居</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20958EB">
            <w:pPr>
              <w:spacing w:after="0"/>
            </w:pPr>
            <w:r>
              <w:rPr>
                <w:rFonts w:ascii="宋体" w:hAnsi="宋体" w:eastAsia="宋体" w:cs="宋体"/>
                <w:sz w:val="20"/>
                <w:szCs w:val="20"/>
              </w:rPr>
              <w:t>清代</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107B8A">
            <w:pPr>
              <w:spacing w:after="0"/>
            </w:pPr>
            <w:r>
              <w:rPr>
                <w:rFonts w:ascii="宋体" w:hAnsi="宋体" w:eastAsia="宋体" w:cs="宋体"/>
                <w:sz w:val="20"/>
                <w:szCs w:val="20"/>
              </w:rPr>
              <w:t>一般</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476E21">
            <w:pPr>
              <w:spacing w:after="0"/>
            </w:pPr>
            <w:r>
              <w:rPr>
                <w:rFonts w:ascii="宋体" w:hAnsi="宋体" w:eastAsia="宋体" w:cs="宋体"/>
                <w:sz w:val="20"/>
                <w:szCs w:val="20"/>
              </w:rPr>
              <w:t>保存了完整的石窗棂格</w:t>
            </w:r>
          </w:p>
        </w:tc>
      </w:tr>
      <w:tr w14:paraId="78391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21AE743">
            <w:pPr>
              <w:spacing w:after="0"/>
            </w:pPr>
            <w:r>
              <w:rPr>
                <w:rFonts w:ascii="宋体" w:hAnsi="宋体" w:eastAsia="宋体" w:cs="宋体"/>
                <w:sz w:val="20"/>
                <w:szCs w:val="20"/>
              </w:rPr>
              <w:t>本寨古井</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DD3EF9">
            <w:pPr>
              <w:spacing w:after="0"/>
            </w:pPr>
            <w:r>
              <w:rPr>
                <w:rFonts w:ascii="宋体" w:hAnsi="宋体" w:eastAsia="宋体" w:cs="宋体"/>
                <w:sz w:val="20"/>
                <w:szCs w:val="20"/>
              </w:rPr>
              <w:t>水利设施</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B3F84F">
            <w:pPr>
              <w:spacing w:after="0"/>
            </w:pPr>
            <w:r>
              <w:rPr>
                <w:rFonts w:ascii="宋体" w:hAnsi="宋体" w:eastAsia="宋体" w:cs="宋体"/>
                <w:sz w:val="20"/>
                <w:szCs w:val="20"/>
              </w:rPr>
              <w:t>明代</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C2F723">
            <w:pPr>
              <w:spacing w:after="0"/>
            </w:pPr>
            <w:r>
              <w:rPr>
                <w:rFonts w:ascii="宋体" w:hAnsi="宋体" w:eastAsia="宋体" w:cs="宋体"/>
                <w:sz w:val="20"/>
                <w:szCs w:val="20"/>
              </w:rPr>
              <w:t>完好</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970DE4">
            <w:pPr>
              <w:spacing w:after="0"/>
            </w:pPr>
            <w:r>
              <w:rPr>
                <w:rFonts w:ascii="宋体" w:hAnsi="宋体" w:eastAsia="宋体" w:cs="宋体"/>
                <w:sz w:val="20"/>
                <w:szCs w:val="20"/>
              </w:rPr>
              <w:t>至今仍在使用</w:t>
            </w:r>
          </w:p>
        </w:tc>
      </w:tr>
    </w:tbl>
    <w:p w14:paraId="4447BCA3">
      <w:pPr>
        <w:pStyle w:val="3"/>
        <w:spacing w:before="300" w:after="200"/>
      </w:pPr>
      <w:bookmarkStart w:id="360" w:name="_Toc13274"/>
      <w:r>
        <w:rPr>
          <w:rFonts w:ascii="黑体" w:hAnsi="黑体" w:eastAsia="黑体" w:cs="黑体"/>
          <w:b/>
          <w:bCs/>
          <w:color w:val="000000"/>
          <w:sz w:val="28"/>
          <w:szCs w:val="28"/>
        </w:rPr>
        <w:t>B.4 云山屯主要建筑</w:t>
      </w:r>
      <w:bookmarkEnd w:id="36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24374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93A1D63">
            <w:pPr>
              <w:spacing w:after="0"/>
            </w:pPr>
            <w:r>
              <w:rPr>
                <w:rFonts w:ascii="宋体" w:hAnsi="宋体" w:eastAsia="宋体" w:cs="宋体"/>
                <w:b/>
                <w:bCs/>
                <w:color w:val="FFFFFF"/>
                <w:sz w:val="20"/>
                <w:szCs w:val="20"/>
              </w:rPr>
              <w:t>建筑名称</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E0FF036">
            <w:pPr>
              <w:spacing w:after="0"/>
            </w:pPr>
            <w:r>
              <w:rPr>
                <w:rFonts w:ascii="宋体" w:hAnsi="宋体" w:eastAsia="宋体" w:cs="宋体"/>
                <w:b/>
                <w:bCs/>
                <w:color w:val="FFFFFF"/>
                <w:sz w:val="20"/>
                <w:szCs w:val="20"/>
              </w:rPr>
              <w:t>类型</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CACA37D">
            <w:pPr>
              <w:spacing w:after="0"/>
            </w:pPr>
            <w:r>
              <w:rPr>
                <w:rFonts w:ascii="宋体" w:hAnsi="宋体" w:eastAsia="宋体" w:cs="宋体"/>
                <w:b/>
                <w:bCs/>
                <w:color w:val="FFFFFF"/>
                <w:sz w:val="20"/>
                <w:szCs w:val="20"/>
              </w:rPr>
              <w:t>年代</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92B34F2">
            <w:pPr>
              <w:spacing w:after="0"/>
            </w:pPr>
            <w:r>
              <w:rPr>
                <w:rFonts w:ascii="宋体" w:hAnsi="宋体" w:eastAsia="宋体" w:cs="宋体"/>
                <w:b/>
                <w:bCs/>
                <w:color w:val="FFFFFF"/>
                <w:sz w:val="20"/>
                <w:szCs w:val="20"/>
              </w:rPr>
              <w:t>保存状况</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5A376E2">
            <w:pPr>
              <w:spacing w:after="0"/>
            </w:pPr>
            <w:r>
              <w:rPr>
                <w:rFonts w:ascii="宋体" w:hAnsi="宋体" w:eastAsia="宋体" w:cs="宋体"/>
                <w:b/>
                <w:bCs/>
                <w:color w:val="FFFFFF"/>
                <w:sz w:val="20"/>
                <w:szCs w:val="20"/>
              </w:rPr>
              <w:t>特色说明</w:t>
            </w:r>
          </w:p>
        </w:tc>
      </w:tr>
      <w:tr w14:paraId="485B2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561D33">
            <w:pPr>
              <w:spacing w:after="0"/>
            </w:pPr>
            <w:r>
              <w:rPr>
                <w:rFonts w:ascii="宋体" w:hAnsi="宋体" w:eastAsia="宋体" w:cs="宋体"/>
                <w:sz w:val="20"/>
                <w:szCs w:val="20"/>
              </w:rPr>
              <w:t>前屯门</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04D62F">
            <w:pPr>
              <w:spacing w:after="0"/>
            </w:pPr>
            <w:r>
              <w:rPr>
                <w:rFonts w:ascii="宋体" w:hAnsi="宋体" w:eastAsia="宋体" w:cs="宋体"/>
                <w:sz w:val="20"/>
                <w:szCs w:val="20"/>
              </w:rPr>
              <w:t>寨门</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9A6E38">
            <w:pPr>
              <w:spacing w:after="0"/>
            </w:pPr>
            <w:r>
              <w:rPr>
                <w:rFonts w:ascii="宋体" w:hAnsi="宋体" w:eastAsia="宋体" w:cs="宋体"/>
                <w:sz w:val="20"/>
                <w:szCs w:val="20"/>
              </w:rPr>
              <w:t>明代</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17D2CAC">
            <w:pPr>
              <w:spacing w:after="0"/>
            </w:pPr>
            <w:r>
              <w:rPr>
                <w:rFonts w:ascii="宋体" w:hAnsi="宋体" w:eastAsia="宋体" w:cs="宋体"/>
                <w:sz w:val="20"/>
                <w:szCs w:val="20"/>
              </w:rPr>
              <w:t>良好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E1FE00">
            <w:pPr>
              <w:spacing w:after="0"/>
            </w:pPr>
            <w:r>
              <w:rPr>
                <w:rFonts w:ascii="宋体" w:hAnsi="宋体" w:eastAsia="宋体" w:cs="宋体"/>
                <w:sz w:val="20"/>
                <w:szCs w:val="20"/>
              </w:rPr>
              <w:t>石砌城门式寨门，保存完好</w:t>
            </w:r>
          </w:p>
        </w:tc>
      </w:tr>
      <w:tr w14:paraId="1E817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277663">
            <w:pPr>
              <w:spacing w:after="0"/>
            </w:pPr>
            <w:r>
              <w:rPr>
                <w:rFonts w:ascii="宋体" w:hAnsi="宋体" w:eastAsia="宋体" w:cs="宋体"/>
                <w:sz w:val="20"/>
                <w:szCs w:val="20"/>
              </w:rPr>
              <w:t>后屯门</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35D559">
            <w:pPr>
              <w:spacing w:after="0"/>
            </w:pPr>
            <w:r>
              <w:rPr>
                <w:rFonts w:ascii="宋体" w:hAnsi="宋体" w:eastAsia="宋体" w:cs="宋体"/>
                <w:sz w:val="20"/>
                <w:szCs w:val="20"/>
              </w:rPr>
              <w:t>寨门</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684B33">
            <w:pPr>
              <w:spacing w:after="0"/>
            </w:pPr>
            <w:r>
              <w:rPr>
                <w:rFonts w:ascii="宋体" w:hAnsi="宋体" w:eastAsia="宋体" w:cs="宋体"/>
                <w:sz w:val="20"/>
                <w:szCs w:val="20"/>
              </w:rPr>
              <w:t>明代</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B8F0B8">
            <w:pPr>
              <w:spacing w:after="0"/>
            </w:pPr>
            <w:r>
              <w:rPr>
                <w:rFonts w:ascii="宋体" w:hAnsi="宋体" w:eastAsia="宋体" w:cs="宋体"/>
                <w:sz w:val="20"/>
                <w:szCs w:val="20"/>
              </w:rPr>
              <w:t>一般</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47605B">
            <w:pPr>
              <w:spacing w:after="0"/>
            </w:pPr>
            <w:r>
              <w:rPr>
                <w:rFonts w:ascii="宋体" w:hAnsi="宋体" w:eastAsia="宋体" w:cs="宋体"/>
                <w:sz w:val="20"/>
                <w:szCs w:val="20"/>
              </w:rPr>
              <w:t>位于山脊，连接古驿道</w:t>
            </w:r>
          </w:p>
        </w:tc>
      </w:tr>
      <w:tr w14:paraId="7FAF8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028032D">
            <w:pPr>
              <w:spacing w:after="0"/>
            </w:pPr>
            <w:r>
              <w:rPr>
                <w:rFonts w:ascii="宋体" w:hAnsi="宋体" w:eastAsia="宋体" w:cs="宋体"/>
                <w:sz w:val="20"/>
                <w:szCs w:val="20"/>
              </w:rPr>
              <w:t>云鹫寺</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5689B4">
            <w:pPr>
              <w:spacing w:after="0"/>
            </w:pPr>
            <w:r>
              <w:rPr>
                <w:rFonts w:ascii="宋体" w:hAnsi="宋体" w:eastAsia="宋体" w:cs="宋体"/>
                <w:sz w:val="20"/>
                <w:szCs w:val="20"/>
              </w:rPr>
              <w:t>寺庙</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EB12F7">
            <w:pPr>
              <w:spacing w:after="0"/>
            </w:pPr>
            <w:r>
              <w:rPr>
                <w:rFonts w:ascii="宋体" w:hAnsi="宋体" w:eastAsia="宋体" w:cs="宋体"/>
                <w:sz w:val="20"/>
                <w:szCs w:val="20"/>
              </w:rPr>
              <w:t>明代始建，清代重建</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F314AB">
            <w:pPr>
              <w:spacing w:after="0"/>
            </w:pPr>
            <w:r>
              <w:rPr>
                <w:rFonts w:ascii="宋体" w:hAnsi="宋体" w:eastAsia="宋体" w:cs="宋体"/>
                <w:sz w:val="20"/>
                <w:szCs w:val="20"/>
              </w:rPr>
              <w:t>良好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04D4118">
            <w:pPr>
              <w:spacing w:after="0"/>
            </w:pPr>
            <w:r>
              <w:rPr>
                <w:rFonts w:ascii="宋体" w:hAnsi="宋体" w:eastAsia="宋体" w:cs="宋体"/>
                <w:sz w:val="20"/>
                <w:szCs w:val="20"/>
              </w:rPr>
              <w:t>位于云山屯后山顶，可俯瞰全景</w:t>
            </w:r>
          </w:p>
        </w:tc>
      </w:tr>
      <w:tr w14:paraId="66943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84031C">
            <w:pPr>
              <w:spacing w:after="0"/>
            </w:pPr>
            <w:r>
              <w:rPr>
                <w:rFonts w:ascii="宋体" w:hAnsi="宋体" w:eastAsia="宋体" w:cs="宋体"/>
                <w:sz w:val="20"/>
                <w:szCs w:val="20"/>
              </w:rPr>
              <w:t>古驿道</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20A6D0">
            <w:pPr>
              <w:spacing w:after="0"/>
            </w:pPr>
            <w:r>
              <w:rPr>
                <w:rFonts w:ascii="宋体" w:hAnsi="宋体" w:eastAsia="宋体" w:cs="宋体"/>
                <w:sz w:val="20"/>
                <w:szCs w:val="20"/>
              </w:rPr>
              <w:t>道路</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5DE036">
            <w:pPr>
              <w:spacing w:after="0"/>
            </w:pPr>
            <w:r>
              <w:rPr>
                <w:rFonts w:ascii="宋体" w:hAnsi="宋体" w:eastAsia="宋体" w:cs="宋体"/>
                <w:sz w:val="20"/>
                <w:szCs w:val="20"/>
              </w:rPr>
              <w:t>明代</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1CE2DE7">
            <w:pPr>
              <w:spacing w:after="0"/>
            </w:pPr>
            <w:r>
              <w:rPr>
                <w:rFonts w:ascii="宋体" w:hAnsi="宋体" w:eastAsia="宋体" w:cs="宋体"/>
                <w:sz w:val="20"/>
                <w:szCs w:val="20"/>
              </w:rPr>
              <w:t>部分完好</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4074091">
            <w:pPr>
              <w:spacing w:after="0"/>
            </w:pPr>
            <w:r>
              <w:rPr>
                <w:rFonts w:ascii="宋体" w:hAnsi="宋体" w:eastAsia="宋体" w:cs="宋体"/>
                <w:sz w:val="20"/>
                <w:szCs w:val="20"/>
              </w:rPr>
              <w:t>石板铺砌，是明代滇黔驿道的组成部分</w:t>
            </w:r>
          </w:p>
        </w:tc>
      </w:tr>
      <w:tr w14:paraId="1E07B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089447">
            <w:pPr>
              <w:spacing w:after="0"/>
            </w:pPr>
            <w:r>
              <w:rPr>
                <w:rFonts w:ascii="宋体" w:hAnsi="宋体" w:eastAsia="宋体" w:cs="宋体"/>
                <w:sz w:val="20"/>
                <w:szCs w:val="20"/>
              </w:rPr>
              <w:t>云山屯戏台</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1C5D31">
            <w:pPr>
              <w:spacing w:after="0"/>
            </w:pPr>
            <w:r>
              <w:rPr>
                <w:rFonts w:ascii="宋体" w:hAnsi="宋体" w:eastAsia="宋体" w:cs="宋体"/>
                <w:sz w:val="20"/>
                <w:szCs w:val="20"/>
              </w:rPr>
              <w:t>公共建筑</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4C6BCF">
            <w:pPr>
              <w:spacing w:after="0"/>
            </w:pPr>
            <w:r>
              <w:rPr>
                <w:rFonts w:ascii="宋体" w:hAnsi="宋体" w:eastAsia="宋体" w:cs="宋体"/>
                <w:sz w:val="20"/>
                <w:szCs w:val="20"/>
              </w:rPr>
              <w:t>清代</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D8B111">
            <w:pPr>
              <w:spacing w:after="0"/>
            </w:pPr>
            <w:r>
              <w:rPr>
                <w:rFonts w:ascii="宋体" w:hAnsi="宋体" w:eastAsia="宋体" w:cs="宋体"/>
                <w:sz w:val="20"/>
                <w:szCs w:val="20"/>
              </w:rPr>
              <w:t>经修缮</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97876B">
            <w:pPr>
              <w:spacing w:after="0"/>
            </w:pPr>
            <w:r>
              <w:rPr>
                <w:rFonts w:ascii="宋体" w:hAnsi="宋体" w:eastAsia="宋体" w:cs="宋体"/>
                <w:sz w:val="20"/>
                <w:szCs w:val="20"/>
              </w:rPr>
              <w:t>地戏和花灯表演场所</w:t>
            </w:r>
          </w:p>
        </w:tc>
      </w:tr>
      <w:tr w14:paraId="333CA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530281">
            <w:pPr>
              <w:spacing w:after="0"/>
            </w:pPr>
            <w:r>
              <w:rPr>
                <w:rFonts w:ascii="宋体" w:hAnsi="宋体" w:eastAsia="宋体" w:cs="宋体"/>
                <w:sz w:val="20"/>
                <w:szCs w:val="20"/>
              </w:rPr>
              <w:t>云山屯商铺群</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A14DD1">
            <w:pPr>
              <w:spacing w:after="0"/>
            </w:pPr>
            <w:r>
              <w:rPr>
                <w:rFonts w:ascii="宋体" w:hAnsi="宋体" w:eastAsia="宋体" w:cs="宋体"/>
                <w:sz w:val="20"/>
                <w:szCs w:val="20"/>
              </w:rPr>
              <w:t>商业建筑</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EC2221">
            <w:pPr>
              <w:spacing w:after="0"/>
            </w:pPr>
            <w:r>
              <w:rPr>
                <w:rFonts w:ascii="宋体" w:hAnsi="宋体" w:eastAsia="宋体" w:cs="宋体"/>
                <w:sz w:val="20"/>
                <w:szCs w:val="20"/>
              </w:rPr>
              <w:t>清代</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66971B">
            <w:pPr>
              <w:spacing w:after="0"/>
            </w:pPr>
            <w:r>
              <w:rPr>
                <w:rFonts w:ascii="宋体" w:hAnsi="宋体" w:eastAsia="宋体" w:cs="宋体"/>
                <w:sz w:val="20"/>
                <w:szCs w:val="20"/>
              </w:rPr>
              <w:t>部分完好</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E1F330">
            <w:pPr>
              <w:spacing w:after="0"/>
            </w:pPr>
            <w:r>
              <w:rPr>
                <w:rFonts w:ascii="宋体" w:hAnsi="宋体" w:eastAsia="宋体" w:cs="宋体"/>
                <w:sz w:val="20"/>
                <w:szCs w:val="20"/>
              </w:rPr>
              <w:t>沿主巷道分布的传统商铺</w:t>
            </w:r>
          </w:p>
        </w:tc>
      </w:tr>
    </w:tbl>
    <w:p w14:paraId="4269E101">
      <w:pPr>
        <w:pStyle w:val="3"/>
        <w:spacing w:before="300" w:after="200"/>
      </w:pPr>
      <w:bookmarkStart w:id="361" w:name="_Toc24644"/>
      <w:r>
        <w:rPr>
          <w:rFonts w:ascii="黑体" w:hAnsi="黑体" w:eastAsia="黑体" w:cs="黑体"/>
          <w:b/>
          <w:bCs/>
          <w:color w:val="000000"/>
          <w:sz w:val="28"/>
          <w:szCs w:val="28"/>
        </w:rPr>
        <w:t>B.5 鲍家屯主要建筑与设施</w:t>
      </w:r>
      <w:bookmarkEnd w:id="361"/>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6C146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E8FF790">
            <w:pPr>
              <w:spacing w:after="0"/>
            </w:pPr>
            <w:r>
              <w:rPr>
                <w:rFonts w:ascii="宋体" w:hAnsi="宋体" w:eastAsia="宋体" w:cs="宋体"/>
                <w:b/>
                <w:bCs/>
                <w:color w:val="FFFFFF"/>
                <w:sz w:val="20"/>
                <w:szCs w:val="20"/>
              </w:rPr>
              <w:t>建筑/设施名称</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99144F1">
            <w:pPr>
              <w:spacing w:after="0"/>
            </w:pPr>
            <w:r>
              <w:rPr>
                <w:rFonts w:ascii="宋体" w:hAnsi="宋体" w:eastAsia="宋体" w:cs="宋体"/>
                <w:b/>
                <w:bCs/>
                <w:color w:val="FFFFFF"/>
                <w:sz w:val="20"/>
                <w:szCs w:val="20"/>
              </w:rPr>
              <w:t>类型</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94664FE">
            <w:pPr>
              <w:spacing w:after="0"/>
            </w:pPr>
            <w:r>
              <w:rPr>
                <w:rFonts w:ascii="宋体" w:hAnsi="宋体" w:eastAsia="宋体" w:cs="宋体"/>
                <w:b/>
                <w:bCs/>
                <w:color w:val="FFFFFF"/>
                <w:sz w:val="20"/>
                <w:szCs w:val="20"/>
              </w:rPr>
              <w:t>年代</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813F06C">
            <w:pPr>
              <w:spacing w:after="0"/>
            </w:pPr>
            <w:r>
              <w:rPr>
                <w:rFonts w:ascii="宋体" w:hAnsi="宋体" w:eastAsia="宋体" w:cs="宋体"/>
                <w:b/>
                <w:bCs/>
                <w:color w:val="FFFFFF"/>
                <w:sz w:val="20"/>
                <w:szCs w:val="20"/>
              </w:rPr>
              <w:t>保存状况</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580873D">
            <w:pPr>
              <w:spacing w:after="0"/>
            </w:pPr>
            <w:r>
              <w:rPr>
                <w:rFonts w:ascii="宋体" w:hAnsi="宋体" w:eastAsia="宋体" w:cs="宋体"/>
                <w:b/>
                <w:bCs/>
                <w:color w:val="FFFFFF"/>
                <w:sz w:val="20"/>
                <w:szCs w:val="20"/>
              </w:rPr>
              <w:t>特色说明</w:t>
            </w:r>
          </w:p>
        </w:tc>
      </w:tr>
      <w:tr w14:paraId="2C7C4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1070116">
            <w:pPr>
              <w:spacing w:after="0"/>
            </w:pPr>
            <w:r>
              <w:rPr>
                <w:rFonts w:ascii="宋体" w:hAnsi="宋体" w:eastAsia="宋体" w:cs="宋体"/>
                <w:sz w:val="20"/>
                <w:szCs w:val="20"/>
              </w:rPr>
              <w:t>鲍家屯拦河坝</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1279DD">
            <w:pPr>
              <w:spacing w:after="0"/>
            </w:pPr>
            <w:r>
              <w:rPr>
                <w:rFonts w:ascii="宋体" w:hAnsi="宋体" w:eastAsia="宋体" w:cs="宋体"/>
                <w:sz w:val="20"/>
                <w:szCs w:val="20"/>
              </w:rPr>
              <w:t>水利设施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3DAB4C">
            <w:pPr>
              <w:spacing w:after="0"/>
            </w:pPr>
            <w:r>
              <w:rPr>
                <w:rFonts w:ascii="宋体" w:hAnsi="宋体" w:eastAsia="宋体" w:cs="宋体"/>
                <w:sz w:val="20"/>
                <w:szCs w:val="20"/>
              </w:rPr>
              <w:t>明代</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2214F7">
            <w:pPr>
              <w:spacing w:after="0"/>
            </w:pPr>
            <w:r>
              <w:rPr>
                <w:rFonts w:ascii="宋体" w:hAnsi="宋体" w:eastAsia="宋体" w:cs="宋体"/>
                <w:sz w:val="20"/>
                <w:szCs w:val="20"/>
              </w:rPr>
              <w:t>完好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CE6F0A">
            <w:pPr>
              <w:spacing w:after="0"/>
            </w:pPr>
            <w:r>
              <w:rPr>
                <w:rFonts w:ascii="宋体" w:hAnsi="宋体" w:eastAsia="宋体" w:cs="宋体"/>
                <w:sz w:val="20"/>
                <w:szCs w:val="20"/>
              </w:rPr>
              <w:t>仍在发挥灌溉功能的古坝</w:t>
            </w:r>
          </w:p>
        </w:tc>
      </w:tr>
      <w:tr w14:paraId="0CE66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E241C8">
            <w:pPr>
              <w:spacing w:after="0"/>
            </w:pPr>
            <w:r>
              <w:rPr>
                <w:rFonts w:ascii="宋体" w:hAnsi="宋体" w:eastAsia="宋体" w:cs="宋体"/>
                <w:sz w:val="20"/>
                <w:szCs w:val="20"/>
              </w:rPr>
              <w:t>引水渠</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FD278E7">
            <w:pPr>
              <w:spacing w:after="0"/>
            </w:pPr>
            <w:r>
              <w:rPr>
                <w:rFonts w:ascii="宋体" w:hAnsi="宋体" w:eastAsia="宋体" w:cs="宋体"/>
                <w:sz w:val="20"/>
                <w:szCs w:val="20"/>
              </w:rPr>
              <w:t>水利设施</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B40539">
            <w:pPr>
              <w:spacing w:after="0"/>
            </w:pPr>
            <w:r>
              <w:rPr>
                <w:rFonts w:ascii="宋体" w:hAnsi="宋体" w:eastAsia="宋体" w:cs="宋体"/>
                <w:sz w:val="20"/>
                <w:szCs w:val="20"/>
              </w:rPr>
              <w:t>明代</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3159A4">
            <w:pPr>
              <w:spacing w:after="0"/>
            </w:pPr>
            <w:r>
              <w:rPr>
                <w:rFonts w:ascii="宋体" w:hAnsi="宋体" w:eastAsia="宋体" w:cs="宋体"/>
                <w:sz w:val="20"/>
                <w:szCs w:val="20"/>
              </w:rPr>
              <w:t>完好</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1115DCA">
            <w:pPr>
              <w:spacing w:after="0"/>
            </w:pPr>
            <w:r>
              <w:rPr>
                <w:rFonts w:ascii="宋体" w:hAnsi="宋体" w:eastAsia="宋体" w:cs="宋体"/>
                <w:sz w:val="20"/>
                <w:szCs w:val="20"/>
              </w:rPr>
              <w:t>全长约2公里，自流灌溉</w:t>
            </w:r>
          </w:p>
        </w:tc>
      </w:tr>
      <w:tr w14:paraId="695BF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E9B4DE">
            <w:pPr>
              <w:spacing w:after="0"/>
            </w:pPr>
            <w:r>
              <w:rPr>
                <w:rFonts w:ascii="宋体" w:hAnsi="宋体" w:eastAsia="宋体" w:cs="宋体"/>
                <w:sz w:val="20"/>
                <w:szCs w:val="20"/>
              </w:rPr>
              <w:t>分水闸</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A43B61E">
            <w:pPr>
              <w:spacing w:after="0"/>
            </w:pPr>
            <w:r>
              <w:rPr>
                <w:rFonts w:ascii="宋体" w:hAnsi="宋体" w:eastAsia="宋体" w:cs="宋体"/>
                <w:sz w:val="20"/>
                <w:szCs w:val="20"/>
              </w:rPr>
              <w:t>水利设施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370400">
            <w:pPr>
              <w:spacing w:after="0"/>
            </w:pPr>
            <w:r>
              <w:rPr>
                <w:rFonts w:ascii="宋体" w:hAnsi="宋体" w:eastAsia="宋体" w:cs="宋体"/>
                <w:sz w:val="20"/>
                <w:szCs w:val="20"/>
              </w:rPr>
              <w:t>明代</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40928C">
            <w:pPr>
              <w:spacing w:after="0"/>
            </w:pPr>
            <w:r>
              <w:rPr>
                <w:rFonts w:ascii="宋体" w:hAnsi="宋体" w:eastAsia="宋体" w:cs="宋体"/>
                <w:sz w:val="20"/>
                <w:szCs w:val="20"/>
              </w:rPr>
              <w:t>完好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9A4C0E">
            <w:pPr>
              <w:spacing w:after="0"/>
            </w:pPr>
            <w:r>
              <w:rPr>
                <w:rFonts w:ascii="宋体" w:hAnsi="宋体" w:eastAsia="宋体" w:cs="宋体"/>
                <w:sz w:val="20"/>
                <w:szCs w:val="20"/>
              </w:rPr>
              <w:t>精密的分水装置</w:t>
            </w:r>
          </w:p>
        </w:tc>
      </w:tr>
      <w:tr w14:paraId="1DEF7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D82EBC">
            <w:pPr>
              <w:spacing w:after="0"/>
            </w:pPr>
            <w:r>
              <w:rPr>
                <w:rFonts w:ascii="宋体" w:hAnsi="宋体" w:eastAsia="宋体" w:cs="宋体"/>
                <w:sz w:val="20"/>
                <w:szCs w:val="20"/>
              </w:rPr>
              <w:t>水碾房</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473C9A">
            <w:pPr>
              <w:spacing w:after="0"/>
            </w:pPr>
            <w:r>
              <w:rPr>
                <w:rFonts w:ascii="宋体" w:hAnsi="宋体" w:eastAsia="宋体" w:cs="宋体"/>
                <w:sz w:val="20"/>
                <w:szCs w:val="20"/>
              </w:rPr>
              <w:t>水利设施</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411F5B">
            <w:pPr>
              <w:spacing w:after="0"/>
            </w:pPr>
            <w:r>
              <w:rPr>
                <w:rFonts w:ascii="宋体" w:hAnsi="宋体" w:eastAsia="宋体" w:cs="宋体"/>
                <w:sz w:val="20"/>
                <w:szCs w:val="20"/>
              </w:rPr>
              <w:t>清代</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ED2E45">
            <w:pPr>
              <w:spacing w:after="0"/>
            </w:pPr>
            <w:r>
              <w:rPr>
                <w:rFonts w:ascii="宋体" w:hAnsi="宋体" w:eastAsia="宋体" w:cs="宋体"/>
                <w:sz w:val="20"/>
                <w:szCs w:val="20"/>
              </w:rPr>
              <w:t>经修缮</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AEDB10F">
            <w:pPr>
              <w:spacing w:after="0"/>
            </w:pPr>
            <w:r>
              <w:rPr>
                <w:rFonts w:ascii="宋体" w:hAnsi="宋体" w:eastAsia="宋体" w:cs="宋体"/>
                <w:sz w:val="20"/>
                <w:szCs w:val="20"/>
              </w:rPr>
              <w:t>利用水力碾米的古作坊</w:t>
            </w:r>
          </w:p>
        </w:tc>
      </w:tr>
      <w:tr w14:paraId="23BAF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D28B69">
            <w:pPr>
              <w:spacing w:after="0"/>
            </w:pPr>
            <w:r>
              <w:rPr>
                <w:rFonts w:ascii="宋体" w:hAnsi="宋体" w:eastAsia="宋体" w:cs="宋体"/>
                <w:sz w:val="20"/>
                <w:szCs w:val="20"/>
              </w:rPr>
              <w:t>汪公庙</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45AC3E">
            <w:pPr>
              <w:spacing w:after="0"/>
            </w:pPr>
            <w:r>
              <w:rPr>
                <w:rFonts w:ascii="宋体" w:hAnsi="宋体" w:eastAsia="宋体" w:cs="宋体"/>
                <w:sz w:val="20"/>
                <w:szCs w:val="20"/>
              </w:rPr>
              <w:t>庙宇</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EEFEA6">
            <w:pPr>
              <w:spacing w:after="0"/>
            </w:pPr>
            <w:r>
              <w:rPr>
                <w:rFonts w:ascii="宋体" w:hAnsi="宋体" w:eastAsia="宋体" w:cs="宋体"/>
                <w:sz w:val="20"/>
                <w:szCs w:val="20"/>
              </w:rPr>
              <w:t>清代</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1C075B">
            <w:pPr>
              <w:spacing w:after="0"/>
            </w:pPr>
            <w:r>
              <w:rPr>
                <w:rFonts w:ascii="宋体" w:hAnsi="宋体" w:eastAsia="宋体" w:cs="宋体"/>
                <w:sz w:val="20"/>
                <w:szCs w:val="20"/>
              </w:rPr>
              <w:t>良好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5B2C65">
            <w:pPr>
              <w:spacing w:after="0"/>
            </w:pPr>
            <w:r>
              <w:rPr>
                <w:rFonts w:ascii="宋体" w:hAnsi="宋体" w:eastAsia="宋体" w:cs="宋体"/>
                <w:sz w:val="20"/>
                <w:szCs w:val="20"/>
              </w:rPr>
              <w:t>"抬汪公"仪式的重要场所</w:t>
            </w:r>
          </w:p>
        </w:tc>
      </w:tr>
      <w:tr w14:paraId="246A0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FC97A3">
            <w:pPr>
              <w:spacing w:after="0"/>
            </w:pPr>
            <w:r>
              <w:rPr>
                <w:rFonts w:ascii="宋体" w:hAnsi="宋体" w:eastAsia="宋体" w:cs="宋体"/>
                <w:sz w:val="20"/>
                <w:szCs w:val="20"/>
              </w:rPr>
              <w:t>鲍家屯寨墙</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21F4A2B">
            <w:pPr>
              <w:spacing w:after="0"/>
            </w:pPr>
            <w:r>
              <w:rPr>
                <w:rFonts w:ascii="宋体" w:hAnsi="宋体" w:eastAsia="宋体" w:cs="宋体"/>
                <w:sz w:val="20"/>
                <w:szCs w:val="20"/>
              </w:rPr>
              <w:t>寨墙</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1CCDA18">
            <w:pPr>
              <w:spacing w:after="0"/>
            </w:pPr>
            <w:r>
              <w:rPr>
                <w:rFonts w:ascii="宋体" w:hAnsi="宋体" w:eastAsia="宋体" w:cs="宋体"/>
                <w:sz w:val="20"/>
                <w:szCs w:val="20"/>
              </w:rPr>
              <w:t>明代</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323567">
            <w:pPr>
              <w:spacing w:after="0"/>
            </w:pPr>
            <w:r>
              <w:rPr>
                <w:rFonts w:ascii="宋体" w:hAnsi="宋体" w:eastAsia="宋体" w:cs="宋体"/>
                <w:sz w:val="20"/>
                <w:szCs w:val="20"/>
              </w:rPr>
              <w:t>部分完好</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711321">
            <w:pPr>
              <w:spacing w:after="0"/>
            </w:pPr>
            <w:r>
              <w:rPr>
                <w:rFonts w:ascii="宋体" w:hAnsi="宋体" w:eastAsia="宋体" w:cs="宋体"/>
                <w:sz w:val="20"/>
                <w:szCs w:val="20"/>
              </w:rPr>
              <w:t>石砌寨墙，残存约500米</w:t>
            </w:r>
          </w:p>
        </w:tc>
      </w:tr>
    </w:tbl>
    <w:p w14:paraId="367265F1">
      <w:pPr>
        <w:pStyle w:val="3"/>
        <w:spacing w:before="300" w:after="200"/>
      </w:pPr>
      <w:bookmarkStart w:id="362" w:name="_Toc32481"/>
      <w:r>
        <w:rPr>
          <w:rFonts w:ascii="黑体" w:hAnsi="黑体" w:eastAsia="黑体" w:cs="黑体"/>
          <w:b/>
          <w:bCs/>
          <w:color w:val="000000"/>
          <w:sz w:val="28"/>
          <w:szCs w:val="28"/>
        </w:rPr>
        <w:t>B.6 屯堡建筑典型构件图解</w:t>
      </w:r>
      <w:bookmarkEnd w:id="362"/>
    </w:p>
    <w:p w14:paraId="19F209E3">
      <w:pPr>
        <w:pStyle w:val="4"/>
        <w:spacing w:before="300" w:after="200"/>
      </w:pPr>
      <w:bookmarkStart w:id="363" w:name="_Toc20779"/>
      <w:r>
        <w:rPr>
          <w:rFonts w:ascii="黑体" w:hAnsi="黑体" w:eastAsia="黑体" w:cs="黑体"/>
          <w:b/>
          <w:bCs/>
          <w:color w:val="000000"/>
          <w:sz w:val="26"/>
          <w:szCs w:val="26"/>
        </w:rPr>
        <w:t>B.6.1 石墙构造</w:t>
      </w:r>
      <w:bookmarkEnd w:id="363"/>
    </w:p>
    <w:p w14:paraId="77B1732F">
      <w:pPr>
        <w:spacing w:after="120" w:line="360" w:lineRule="auto"/>
        <w:jc w:val="both"/>
      </w:pPr>
      <w:r>
        <w:rPr>
          <w:rFonts w:ascii="宋体" w:hAnsi="宋体" w:eastAsia="宋体" w:cs="宋体"/>
          <w:sz w:val="24"/>
          <w:szCs w:val="24"/>
        </w:rPr>
        <w:t>屯堡建筑的石墙为"双层片石干砌"结构：外层选用大块平整的石灰岩片石，内层填充碎石和泥土，墙厚40-60厘米。石片之间不施泥浆，靠石片间的咬合和墙体自重维持稳定。这种构造具有良好的透气性和抗震性。</w:t>
      </w:r>
    </w:p>
    <w:p w14:paraId="1F8F1B83">
      <w:pPr>
        <w:pStyle w:val="4"/>
        <w:spacing w:before="300" w:after="200"/>
      </w:pPr>
      <w:bookmarkStart w:id="364" w:name="_Toc17117"/>
      <w:r>
        <w:rPr>
          <w:rFonts w:ascii="黑体" w:hAnsi="黑体" w:eastAsia="黑体" w:cs="黑体"/>
          <w:b/>
          <w:bCs/>
          <w:color w:val="000000"/>
          <w:sz w:val="26"/>
          <w:szCs w:val="26"/>
        </w:rPr>
        <w:t>B.6.2 木构架类型</w:t>
      </w:r>
      <w:bookmarkEnd w:id="364"/>
    </w:p>
    <w:p w14:paraId="441B062B">
      <w:pPr>
        <w:spacing w:after="120" w:line="360" w:lineRule="auto"/>
        <w:jc w:val="both"/>
      </w:pPr>
      <w:r>
        <w:rPr>
          <w:rFonts w:ascii="宋体" w:hAnsi="宋体" w:eastAsia="宋体" w:cs="宋体"/>
          <w:sz w:val="24"/>
          <w:szCs w:val="24"/>
        </w:rPr>
        <w:t>屯堡建筑木构架主要有两种类型：穿斗式——用于厢房和辅助用房，柱距较密，用材较小，经济实用；抬梁式——用于正房堂屋，柱距较大，用材较大，可获得开阔的室内空间。部分建筑采用穿斗与抬梁混合式。</w:t>
      </w:r>
    </w:p>
    <w:p w14:paraId="2E0CA138">
      <w:pPr>
        <w:pStyle w:val="4"/>
        <w:spacing w:before="300" w:after="200"/>
      </w:pPr>
      <w:bookmarkStart w:id="365" w:name="_Toc6982"/>
      <w:r>
        <w:rPr>
          <w:rFonts w:ascii="黑体" w:hAnsi="黑体" w:eastAsia="黑体" w:cs="黑体"/>
          <w:b/>
          <w:bCs/>
          <w:color w:val="000000"/>
          <w:sz w:val="26"/>
          <w:szCs w:val="26"/>
        </w:rPr>
        <w:t>B.6.3 门窗类型</w:t>
      </w:r>
      <w:bookmarkEnd w:id="365"/>
    </w:p>
    <w:p w14:paraId="11AA28FE">
      <w:pPr>
        <w:pStyle w:val="19"/>
        <w:numPr>
          <w:ilvl w:val="0"/>
          <w:numId w:val="1"/>
        </w:numPr>
        <w:spacing w:after="60" w:line="340" w:lineRule="auto"/>
      </w:pPr>
      <w:r>
        <w:rPr>
          <w:rFonts w:ascii="宋体" w:hAnsi="宋体" w:eastAsia="宋体" w:cs="宋体"/>
          <w:sz w:val="24"/>
          <w:szCs w:val="24"/>
        </w:rPr>
        <w:t>石框木门：门框为整块石料凿成，门扇为厚木板，内设门闩</w:t>
      </w:r>
    </w:p>
    <w:p w14:paraId="411C50D9">
      <w:pPr>
        <w:pStyle w:val="19"/>
        <w:numPr>
          <w:ilvl w:val="0"/>
          <w:numId w:val="1"/>
        </w:numPr>
        <w:spacing w:after="60" w:line="340" w:lineRule="auto"/>
      </w:pPr>
      <w:r>
        <w:rPr>
          <w:rFonts w:ascii="宋体" w:hAnsi="宋体" w:eastAsia="宋体" w:cs="宋体"/>
          <w:sz w:val="24"/>
          <w:szCs w:val="24"/>
        </w:rPr>
        <w:t>木雕花窗：窗棂为木质，雕刻花草、蝙蝠、如意等吉祥图案</w:t>
      </w:r>
    </w:p>
    <w:p w14:paraId="3A6BC413">
      <w:pPr>
        <w:pStyle w:val="19"/>
        <w:numPr>
          <w:ilvl w:val="0"/>
          <w:numId w:val="1"/>
        </w:numPr>
        <w:spacing w:after="60" w:line="340" w:lineRule="auto"/>
      </w:pPr>
      <w:r>
        <w:rPr>
          <w:rFonts w:ascii="宋体" w:hAnsi="宋体" w:eastAsia="宋体" w:cs="宋体"/>
          <w:sz w:val="24"/>
          <w:szCs w:val="24"/>
        </w:rPr>
        <w:t>石窗棂：直接以石料雕刻成窗棂格，兼具采光、通风和防盗功能</w:t>
      </w:r>
    </w:p>
    <w:p w14:paraId="3117F950">
      <w:pPr>
        <w:pStyle w:val="19"/>
        <w:numPr>
          <w:ilvl w:val="0"/>
          <w:numId w:val="1"/>
        </w:numPr>
        <w:spacing w:after="60" w:line="340" w:lineRule="auto"/>
      </w:pPr>
      <w:r>
        <w:rPr>
          <w:rFonts w:ascii="宋体" w:hAnsi="宋体" w:eastAsia="宋体" w:cs="宋体"/>
          <w:sz w:val="24"/>
          <w:szCs w:val="24"/>
        </w:rPr>
        <w:t>枪眼：外墙上的窄缝形开口，用于射击防御</w:t>
      </w:r>
    </w:p>
    <w:p w14:paraId="19467950">
      <w:pPr>
        <w:pStyle w:val="4"/>
        <w:spacing w:before="300" w:after="200"/>
      </w:pPr>
      <w:bookmarkStart w:id="366" w:name="_Toc5116"/>
      <w:r>
        <w:rPr>
          <w:rFonts w:ascii="黑体" w:hAnsi="黑体" w:eastAsia="黑体" w:cs="黑体"/>
          <w:b/>
          <w:bCs/>
          <w:color w:val="000000"/>
          <w:sz w:val="26"/>
          <w:szCs w:val="26"/>
        </w:rPr>
        <w:t>B.6.4 屋顶类型</w:t>
      </w:r>
      <w:bookmarkEnd w:id="366"/>
    </w:p>
    <w:p w14:paraId="799A7A5A">
      <w:pPr>
        <w:pStyle w:val="19"/>
        <w:numPr>
          <w:ilvl w:val="0"/>
          <w:numId w:val="1"/>
        </w:numPr>
        <w:spacing w:after="60" w:line="340" w:lineRule="auto"/>
      </w:pPr>
      <w:r>
        <w:rPr>
          <w:rFonts w:ascii="宋体" w:hAnsi="宋体" w:eastAsia="宋体" w:cs="宋体"/>
          <w:sz w:val="24"/>
          <w:szCs w:val="24"/>
        </w:rPr>
        <w:t>石板屋面：用当地片石铺盖屋顶，耐久防水</w:t>
      </w:r>
    </w:p>
    <w:p w14:paraId="27F814B7">
      <w:pPr>
        <w:pStyle w:val="19"/>
        <w:numPr>
          <w:ilvl w:val="0"/>
          <w:numId w:val="1"/>
        </w:numPr>
        <w:spacing w:after="60" w:line="340" w:lineRule="auto"/>
      </w:pPr>
      <w:r>
        <w:rPr>
          <w:rFonts w:ascii="宋体" w:hAnsi="宋体" w:eastAsia="宋体" w:cs="宋体"/>
          <w:sz w:val="24"/>
          <w:szCs w:val="24"/>
        </w:rPr>
        <w:t>小青瓦屋面：用弧形小青瓦铺盖，多见于清代以后建筑</w:t>
      </w:r>
    </w:p>
    <w:p w14:paraId="541A02CF">
      <w:pPr>
        <w:pStyle w:val="19"/>
        <w:numPr>
          <w:ilvl w:val="0"/>
          <w:numId w:val="1"/>
        </w:numPr>
        <w:spacing w:after="60" w:line="340" w:lineRule="auto"/>
      </w:pPr>
      <w:r>
        <w:rPr>
          <w:rFonts w:ascii="宋体" w:hAnsi="宋体" w:eastAsia="宋体" w:cs="宋体"/>
          <w:sz w:val="24"/>
          <w:szCs w:val="24"/>
        </w:rPr>
        <w:t>屋脊装饰：屋脊中央常有宝顶或中墩装饰</w:t>
      </w:r>
    </w:p>
    <w:p w14:paraId="6EEF5041">
      <w:pPr>
        <w:pStyle w:val="19"/>
        <w:numPr>
          <w:ilvl w:val="0"/>
          <w:numId w:val="1"/>
        </w:numPr>
        <w:spacing w:after="60" w:line="340" w:lineRule="auto"/>
      </w:pPr>
      <w:r>
        <w:rPr>
          <w:rFonts w:ascii="宋体" w:hAnsi="宋体" w:eastAsia="宋体" w:cs="宋体"/>
          <w:sz w:val="24"/>
          <w:szCs w:val="24"/>
        </w:rPr>
        <w:t>翘角：屋角微微上翘，源自江南民居的传统做法</w:t>
      </w:r>
    </w:p>
    <w:p w14:paraId="2E9D3723">
      <w:pPr>
        <w:pStyle w:val="3"/>
        <w:spacing w:before="300" w:after="200"/>
      </w:pPr>
      <w:bookmarkStart w:id="367" w:name="_Toc17594"/>
      <w:r>
        <w:rPr>
          <w:rFonts w:ascii="黑体" w:hAnsi="黑体" w:eastAsia="黑体" w:cs="黑体"/>
          <w:b/>
          <w:bCs/>
          <w:color w:val="000000"/>
          <w:sz w:val="28"/>
          <w:szCs w:val="28"/>
        </w:rPr>
        <w:t>B.7 屯堡建筑测绘基本参数</w:t>
      </w:r>
      <w:bookmarkEnd w:id="367"/>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504"/>
        <w:gridCol w:w="1504"/>
        <w:gridCol w:w="1504"/>
        <w:gridCol w:w="1504"/>
        <w:gridCol w:w="1505"/>
        <w:gridCol w:w="1505"/>
      </w:tblGrid>
      <w:tr w14:paraId="5A3C2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504"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3F2A9EB">
            <w:pPr>
              <w:spacing w:after="0"/>
            </w:pPr>
            <w:r>
              <w:rPr>
                <w:rFonts w:ascii="宋体" w:hAnsi="宋体" w:eastAsia="宋体" w:cs="宋体"/>
                <w:b/>
                <w:bCs/>
                <w:color w:val="FFFFFF"/>
                <w:sz w:val="20"/>
                <w:szCs w:val="20"/>
              </w:rPr>
              <w:t>建筑类型</w:t>
            </w:r>
          </w:p>
        </w:tc>
        <w:tc>
          <w:tcPr>
            <w:tcW w:w="1504"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C30EC63">
            <w:pPr>
              <w:spacing w:after="0"/>
            </w:pPr>
            <w:r>
              <w:rPr>
                <w:rFonts w:ascii="宋体" w:hAnsi="宋体" w:eastAsia="宋体" w:cs="宋体"/>
                <w:b/>
                <w:bCs/>
                <w:color w:val="FFFFFF"/>
                <w:sz w:val="20"/>
                <w:szCs w:val="20"/>
              </w:rPr>
              <w:t>典型占地面积</w:t>
            </w:r>
          </w:p>
        </w:tc>
        <w:tc>
          <w:tcPr>
            <w:tcW w:w="1504"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ED4EF8B">
            <w:pPr>
              <w:spacing w:after="0"/>
            </w:pPr>
            <w:r>
              <w:rPr>
                <w:rFonts w:ascii="宋体" w:hAnsi="宋体" w:eastAsia="宋体" w:cs="宋体"/>
                <w:b/>
                <w:bCs/>
                <w:color w:val="FFFFFF"/>
                <w:sz w:val="20"/>
                <w:szCs w:val="20"/>
              </w:rPr>
              <w:t>典型层数</w:t>
            </w:r>
          </w:p>
        </w:tc>
        <w:tc>
          <w:tcPr>
            <w:tcW w:w="1504"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A11C86A">
            <w:pPr>
              <w:spacing w:after="0"/>
            </w:pPr>
            <w:r>
              <w:rPr>
                <w:rFonts w:ascii="宋体" w:hAnsi="宋体" w:eastAsia="宋体" w:cs="宋体"/>
                <w:b/>
                <w:bCs/>
                <w:color w:val="FFFFFF"/>
                <w:sz w:val="20"/>
                <w:szCs w:val="20"/>
              </w:rPr>
              <w:t>典型层高</w:t>
            </w:r>
          </w:p>
        </w:tc>
        <w:tc>
          <w:tcPr>
            <w:tcW w:w="1504"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3ED832F">
            <w:pPr>
              <w:spacing w:after="0"/>
            </w:pPr>
            <w:r>
              <w:rPr>
                <w:rFonts w:ascii="宋体" w:hAnsi="宋体" w:eastAsia="宋体" w:cs="宋体"/>
                <w:b/>
                <w:bCs/>
                <w:color w:val="FFFFFF"/>
                <w:sz w:val="20"/>
                <w:szCs w:val="20"/>
              </w:rPr>
              <w:t>墙厚</w:t>
            </w:r>
          </w:p>
        </w:tc>
        <w:tc>
          <w:tcPr>
            <w:tcW w:w="1504"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75DDF27">
            <w:pPr>
              <w:spacing w:after="0"/>
            </w:pPr>
            <w:r>
              <w:rPr>
                <w:rFonts w:ascii="宋体" w:hAnsi="宋体" w:eastAsia="宋体" w:cs="宋体"/>
                <w:b/>
                <w:bCs/>
                <w:color w:val="FFFFFF"/>
                <w:sz w:val="20"/>
                <w:szCs w:val="20"/>
              </w:rPr>
              <w:t>备注</w:t>
            </w:r>
          </w:p>
        </w:tc>
      </w:tr>
      <w:tr w14:paraId="72E4F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B9F1D5">
            <w:pPr>
              <w:spacing w:after="0"/>
            </w:pPr>
            <w:r>
              <w:rPr>
                <w:rFonts w:ascii="宋体" w:hAnsi="宋体" w:eastAsia="宋体" w:cs="宋体"/>
                <w:sz w:val="20"/>
                <w:szCs w:val="20"/>
              </w:rPr>
              <w:t>小型民居</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1E327D9">
            <w:pPr>
              <w:spacing w:after="0"/>
            </w:pPr>
            <w:r>
              <w:rPr>
                <w:rFonts w:ascii="宋体" w:hAnsi="宋体" w:eastAsia="宋体" w:cs="宋体"/>
                <w:sz w:val="20"/>
                <w:szCs w:val="20"/>
              </w:rPr>
              <w:t>80-120平方米</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88D428">
            <w:pPr>
              <w:spacing w:after="0"/>
            </w:pPr>
            <w:r>
              <w:rPr>
                <w:rFonts w:ascii="宋体" w:hAnsi="宋体" w:eastAsia="宋体" w:cs="宋体"/>
                <w:sz w:val="20"/>
                <w:szCs w:val="20"/>
              </w:rPr>
              <w:t>1-2层</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1ED9C4F">
            <w:pPr>
              <w:spacing w:after="0"/>
            </w:pPr>
            <w:r>
              <w:rPr>
                <w:rFonts w:ascii="宋体" w:hAnsi="宋体" w:eastAsia="宋体" w:cs="宋体"/>
                <w:sz w:val="20"/>
                <w:szCs w:val="20"/>
              </w:rPr>
              <w:t>2.8-3.2米</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21D821">
            <w:pPr>
              <w:spacing w:after="0"/>
            </w:pPr>
            <w:r>
              <w:rPr>
                <w:rFonts w:ascii="宋体" w:hAnsi="宋体" w:eastAsia="宋体" w:cs="宋体"/>
                <w:sz w:val="20"/>
                <w:szCs w:val="20"/>
              </w:rPr>
              <w:t>40-50厘米</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022E9E">
            <w:pPr>
              <w:spacing w:after="0"/>
            </w:pPr>
            <w:r>
              <w:rPr>
                <w:rFonts w:ascii="宋体" w:hAnsi="宋体" w:eastAsia="宋体" w:cs="宋体"/>
                <w:sz w:val="20"/>
                <w:szCs w:val="20"/>
              </w:rPr>
              <w:t>三合院为主</w:t>
            </w:r>
          </w:p>
        </w:tc>
      </w:tr>
      <w:tr w14:paraId="3B282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F5D7D9">
            <w:pPr>
              <w:spacing w:after="0"/>
            </w:pPr>
            <w:r>
              <w:rPr>
                <w:rFonts w:ascii="宋体" w:hAnsi="宋体" w:eastAsia="宋体" w:cs="宋体"/>
                <w:sz w:val="20"/>
                <w:szCs w:val="20"/>
              </w:rPr>
              <w:t>中型民居</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30C5BA">
            <w:pPr>
              <w:spacing w:after="0"/>
            </w:pPr>
            <w:r>
              <w:rPr>
                <w:rFonts w:ascii="宋体" w:hAnsi="宋体" w:eastAsia="宋体" w:cs="宋体"/>
                <w:sz w:val="20"/>
                <w:szCs w:val="20"/>
              </w:rPr>
              <w:t>150-300平方米</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8A23CF3">
            <w:pPr>
              <w:spacing w:after="0"/>
            </w:pPr>
            <w:r>
              <w:rPr>
                <w:rFonts w:ascii="宋体" w:hAnsi="宋体" w:eastAsia="宋体" w:cs="宋体"/>
                <w:sz w:val="20"/>
                <w:szCs w:val="20"/>
              </w:rPr>
              <w:t>2层</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465234">
            <w:pPr>
              <w:spacing w:after="0"/>
            </w:pPr>
            <w:r>
              <w:rPr>
                <w:rFonts w:ascii="宋体" w:hAnsi="宋体" w:eastAsia="宋体" w:cs="宋体"/>
                <w:sz w:val="20"/>
                <w:szCs w:val="20"/>
              </w:rPr>
              <w:t>3.0-3.5米</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321DF8">
            <w:pPr>
              <w:spacing w:after="0"/>
            </w:pPr>
            <w:r>
              <w:rPr>
                <w:rFonts w:ascii="宋体" w:hAnsi="宋体" w:eastAsia="宋体" w:cs="宋体"/>
                <w:sz w:val="20"/>
                <w:szCs w:val="20"/>
              </w:rPr>
              <w:t>45-55厘米</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D684394">
            <w:pPr>
              <w:spacing w:after="0"/>
            </w:pPr>
            <w:r>
              <w:rPr>
                <w:rFonts w:ascii="宋体" w:hAnsi="宋体" w:eastAsia="宋体" w:cs="宋体"/>
                <w:sz w:val="20"/>
                <w:szCs w:val="20"/>
              </w:rPr>
              <w:t>四合院为主</w:t>
            </w:r>
          </w:p>
        </w:tc>
      </w:tr>
      <w:tr w14:paraId="3C123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3B36DC">
            <w:pPr>
              <w:spacing w:after="0"/>
            </w:pPr>
            <w:r>
              <w:rPr>
                <w:rFonts w:ascii="宋体" w:hAnsi="宋体" w:eastAsia="宋体" w:cs="宋体"/>
                <w:sz w:val="20"/>
                <w:szCs w:val="20"/>
              </w:rPr>
              <w:t>大型民居</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045E6F">
            <w:pPr>
              <w:spacing w:after="0"/>
            </w:pPr>
            <w:r>
              <w:rPr>
                <w:rFonts w:ascii="宋体" w:hAnsi="宋体" w:eastAsia="宋体" w:cs="宋体"/>
                <w:sz w:val="20"/>
                <w:szCs w:val="20"/>
              </w:rPr>
              <w:t>400-800平方米</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828D5F">
            <w:pPr>
              <w:spacing w:after="0"/>
            </w:pPr>
            <w:r>
              <w:rPr>
                <w:rFonts w:ascii="宋体" w:hAnsi="宋体" w:eastAsia="宋体" w:cs="宋体"/>
                <w:sz w:val="20"/>
                <w:szCs w:val="20"/>
              </w:rPr>
              <w:t>2层</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0DC587">
            <w:pPr>
              <w:spacing w:after="0"/>
            </w:pPr>
            <w:r>
              <w:rPr>
                <w:rFonts w:ascii="宋体" w:hAnsi="宋体" w:eastAsia="宋体" w:cs="宋体"/>
                <w:sz w:val="20"/>
                <w:szCs w:val="20"/>
              </w:rPr>
              <w:t>3.2-3.8米</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CDB557">
            <w:pPr>
              <w:spacing w:after="0"/>
            </w:pPr>
            <w:r>
              <w:rPr>
                <w:rFonts w:ascii="宋体" w:hAnsi="宋体" w:eastAsia="宋体" w:cs="宋体"/>
                <w:sz w:val="20"/>
                <w:szCs w:val="20"/>
              </w:rPr>
              <w:t>50-60厘米</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523FB3">
            <w:pPr>
              <w:spacing w:after="0"/>
            </w:pPr>
            <w:r>
              <w:rPr>
                <w:rFonts w:ascii="宋体" w:hAnsi="宋体" w:eastAsia="宋体" w:cs="宋体"/>
                <w:sz w:val="20"/>
                <w:szCs w:val="20"/>
              </w:rPr>
              <w:t>多进四合院</w:t>
            </w:r>
          </w:p>
        </w:tc>
      </w:tr>
      <w:tr w14:paraId="2AC0E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4FBD97">
            <w:pPr>
              <w:spacing w:after="0"/>
            </w:pPr>
            <w:r>
              <w:rPr>
                <w:rFonts w:ascii="宋体" w:hAnsi="宋体" w:eastAsia="宋体" w:cs="宋体"/>
                <w:sz w:val="20"/>
                <w:szCs w:val="20"/>
              </w:rPr>
              <w:t>碉楼</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A9B7E5">
            <w:pPr>
              <w:spacing w:after="0"/>
            </w:pPr>
            <w:r>
              <w:rPr>
                <w:rFonts w:ascii="宋体" w:hAnsi="宋体" w:eastAsia="宋体" w:cs="宋体"/>
                <w:sz w:val="20"/>
                <w:szCs w:val="20"/>
              </w:rPr>
              <w:t>20-40平方米</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A60F31">
            <w:pPr>
              <w:spacing w:after="0"/>
            </w:pPr>
            <w:r>
              <w:rPr>
                <w:rFonts w:ascii="宋体" w:hAnsi="宋体" w:eastAsia="宋体" w:cs="宋体"/>
                <w:sz w:val="20"/>
                <w:szCs w:val="20"/>
              </w:rPr>
              <w:t>3-4层</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E96F1E9">
            <w:pPr>
              <w:spacing w:after="0"/>
            </w:pPr>
            <w:r>
              <w:rPr>
                <w:rFonts w:ascii="宋体" w:hAnsi="宋体" w:eastAsia="宋体" w:cs="宋体"/>
                <w:sz w:val="20"/>
                <w:szCs w:val="20"/>
              </w:rPr>
              <w:t>2.5-3.0米</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18BD90">
            <w:pPr>
              <w:spacing w:after="0"/>
            </w:pPr>
            <w:r>
              <w:rPr>
                <w:rFonts w:ascii="宋体" w:hAnsi="宋体" w:eastAsia="宋体" w:cs="宋体"/>
                <w:sz w:val="20"/>
                <w:szCs w:val="20"/>
              </w:rPr>
              <w:t>50-70厘米</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8DF52A">
            <w:pPr>
              <w:spacing w:after="0"/>
            </w:pPr>
            <w:r>
              <w:rPr>
                <w:rFonts w:ascii="宋体" w:hAnsi="宋体" w:eastAsia="宋体" w:cs="宋体"/>
                <w:sz w:val="20"/>
                <w:szCs w:val="20"/>
              </w:rPr>
              <w:t>村寨制高点</w:t>
            </w:r>
          </w:p>
        </w:tc>
      </w:tr>
      <w:tr w14:paraId="0C23D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EB7347">
            <w:pPr>
              <w:spacing w:after="0"/>
            </w:pPr>
            <w:r>
              <w:rPr>
                <w:rFonts w:ascii="宋体" w:hAnsi="宋体" w:eastAsia="宋体" w:cs="宋体"/>
                <w:sz w:val="20"/>
                <w:szCs w:val="20"/>
              </w:rPr>
              <w:t>庙宇</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7E6D1D">
            <w:pPr>
              <w:spacing w:after="0"/>
            </w:pPr>
            <w:r>
              <w:rPr>
                <w:rFonts w:ascii="宋体" w:hAnsi="宋体" w:eastAsia="宋体" w:cs="宋体"/>
                <w:sz w:val="20"/>
                <w:szCs w:val="20"/>
              </w:rPr>
              <w:t>100-200平方米</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CD8C12">
            <w:pPr>
              <w:spacing w:after="0"/>
            </w:pPr>
            <w:r>
              <w:rPr>
                <w:rFonts w:ascii="宋体" w:hAnsi="宋体" w:eastAsia="宋体" w:cs="宋体"/>
                <w:sz w:val="20"/>
                <w:szCs w:val="20"/>
              </w:rPr>
              <w:t>1层</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0B3548">
            <w:pPr>
              <w:spacing w:after="0"/>
            </w:pPr>
            <w:r>
              <w:rPr>
                <w:rFonts w:ascii="宋体" w:hAnsi="宋体" w:eastAsia="宋体" w:cs="宋体"/>
                <w:sz w:val="20"/>
                <w:szCs w:val="20"/>
              </w:rPr>
              <w:t>3.5-4.5米</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3196C1">
            <w:pPr>
              <w:spacing w:after="0"/>
            </w:pPr>
            <w:r>
              <w:rPr>
                <w:rFonts w:ascii="宋体" w:hAnsi="宋体" w:eastAsia="宋体" w:cs="宋体"/>
                <w:sz w:val="20"/>
                <w:szCs w:val="20"/>
              </w:rPr>
              <w:t>45-55厘米</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60BEBF9">
            <w:pPr>
              <w:spacing w:after="0"/>
            </w:pPr>
            <w:r>
              <w:rPr>
                <w:rFonts w:ascii="宋体" w:hAnsi="宋体" w:eastAsia="宋体" w:cs="宋体"/>
                <w:sz w:val="20"/>
                <w:szCs w:val="20"/>
              </w:rPr>
              <w:t>汪公庙等</w:t>
            </w:r>
          </w:p>
        </w:tc>
      </w:tr>
      <w:tr w14:paraId="58A83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AB1384">
            <w:pPr>
              <w:spacing w:after="0"/>
            </w:pPr>
            <w:r>
              <w:rPr>
                <w:rFonts w:ascii="宋体" w:hAnsi="宋体" w:eastAsia="宋体" w:cs="宋体"/>
                <w:sz w:val="20"/>
                <w:szCs w:val="20"/>
              </w:rPr>
              <w:t>寨门</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B4D459">
            <w:pPr>
              <w:spacing w:after="0"/>
            </w:pPr>
            <w:r>
              <w:rPr>
                <w:rFonts w:ascii="宋体" w:hAnsi="宋体" w:eastAsia="宋体" w:cs="宋体"/>
                <w:sz w:val="20"/>
                <w:szCs w:val="20"/>
              </w:rPr>
              <w:t>30-60平方米</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301EB1">
            <w:pPr>
              <w:spacing w:after="0"/>
            </w:pPr>
            <w:r>
              <w:rPr>
                <w:rFonts w:ascii="宋体" w:hAnsi="宋体" w:eastAsia="宋体" w:cs="宋体"/>
                <w:sz w:val="20"/>
                <w:szCs w:val="20"/>
              </w:rPr>
              <w:t>1-2层</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2677DE">
            <w:pPr>
              <w:spacing w:after="0"/>
            </w:pPr>
            <w:r>
              <w:rPr>
                <w:rFonts w:ascii="宋体" w:hAnsi="宋体" w:eastAsia="宋体" w:cs="宋体"/>
                <w:sz w:val="20"/>
                <w:szCs w:val="20"/>
              </w:rPr>
              <w:t>3.0-4.0米</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504656">
            <w:pPr>
              <w:spacing w:after="0"/>
            </w:pPr>
            <w:r>
              <w:rPr>
                <w:rFonts w:ascii="宋体" w:hAnsi="宋体" w:eastAsia="宋体" w:cs="宋体"/>
                <w:sz w:val="20"/>
                <w:szCs w:val="20"/>
              </w:rPr>
              <w:t>50-60厘米</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8BCF2F">
            <w:pPr>
              <w:spacing w:after="0"/>
            </w:pPr>
            <w:r>
              <w:rPr>
                <w:rFonts w:ascii="宋体" w:hAnsi="宋体" w:eastAsia="宋体" w:cs="宋体"/>
                <w:sz w:val="20"/>
                <w:szCs w:val="20"/>
              </w:rPr>
              <w:t>设门楼</w:t>
            </w:r>
          </w:p>
        </w:tc>
      </w:tr>
    </w:tbl>
    <w:p w14:paraId="2768424F">
      <w:r>
        <w:br w:type="page"/>
      </w:r>
    </w:p>
    <w:p w14:paraId="78598264">
      <w:pPr>
        <w:pStyle w:val="2"/>
        <w:spacing w:before="400" w:after="200"/>
      </w:pPr>
      <w:bookmarkStart w:id="368" w:name="_Toc16338"/>
      <w:r>
        <w:rPr>
          <w:rFonts w:ascii="黑体" w:hAnsi="黑体" w:eastAsia="黑体" w:cs="黑体"/>
          <w:b/>
          <w:bCs/>
          <w:color w:val="1F4E79"/>
          <w:sz w:val="32"/>
          <w:szCs w:val="32"/>
        </w:rPr>
        <w:t>附录C 贵州屯堡文化数字化案例集</w:t>
      </w:r>
      <w:bookmarkEnd w:id="368"/>
    </w:p>
    <w:p w14:paraId="2CADE839">
      <w:pPr>
        <w:pStyle w:val="3"/>
        <w:spacing w:before="300" w:after="200"/>
      </w:pPr>
      <w:bookmarkStart w:id="369" w:name="_Toc19648"/>
      <w:r>
        <w:rPr>
          <w:rFonts w:ascii="黑体" w:hAnsi="黑体" w:eastAsia="黑体" w:cs="黑体"/>
          <w:b/>
          <w:bCs/>
          <w:color w:val="000000"/>
          <w:sz w:val="28"/>
          <w:szCs w:val="28"/>
        </w:rPr>
        <w:t>C.1 云山屯数字孪生项目</w:t>
      </w:r>
      <w:bookmarkEnd w:id="369"/>
    </w:p>
    <w:p w14:paraId="1CA0A413">
      <w:pPr>
        <w:spacing w:after="120" w:line="360" w:lineRule="auto"/>
        <w:jc w:val="both"/>
      </w:pPr>
      <w:r>
        <w:rPr>
          <w:rFonts w:ascii="宋体" w:hAnsi="宋体" w:eastAsia="宋体" w:cs="宋体"/>
          <w:b/>
          <w:bCs/>
          <w:sz w:val="24"/>
          <w:szCs w:val="24"/>
        </w:rPr>
        <w:t>项目概况。</w:t>
      </w:r>
      <w:r>
        <w:rPr>
          <w:rFonts w:ascii="宋体" w:hAnsi="宋体" w:eastAsia="宋体" w:cs="宋体"/>
          <w:sz w:val="24"/>
          <w:szCs w:val="24"/>
        </w:rPr>
        <w:t xml:space="preserve"> 2025年，贵州大学文化遗产数字化团队与安顺市文物局合作，对云山屯核心区（面积约5公顷，建筑50余栋）进行全方位数字化采集和数字孪生系统建设。</w:t>
      </w:r>
    </w:p>
    <w:p w14:paraId="20400867">
      <w:pPr>
        <w:spacing w:after="120" w:line="360" w:lineRule="auto"/>
        <w:jc w:val="both"/>
      </w:pPr>
      <w:r>
        <w:rPr>
          <w:rFonts w:ascii="宋体" w:hAnsi="宋体" w:eastAsia="宋体" w:cs="宋体"/>
          <w:b/>
          <w:bCs/>
          <w:sz w:val="24"/>
          <w:szCs w:val="24"/>
        </w:rPr>
        <w:t>技术方案。</w:t>
      </w:r>
    </w:p>
    <w:p w14:paraId="576D8BD3">
      <w:pPr>
        <w:pStyle w:val="19"/>
        <w:numPr>
          <w:ilvl w:val="0"/>
          <w:numId w:val="1"/>
        </w:numPr>
        <w:spacing w:after="60" w:line="340" w:lineRule="auto"/>
      </w:pPr>
      <w:r>
        <w:rPr>
          <w:rFonts w:ascii="宋体" w:hAnsi="宋体" w:eastAsia="宋体" w:cs="宋体"/>
          <w:sz w:val="24"/>
          <w:szCs w:val="24"/>
        </w:rPr>
        <w:t>地面激光扫描：使用FARO Focus S350扫描仪，设站120个，获取点云数据约50亿个点</w:t>
      </w:r>
    </w:p>
    <w:p w14:paraId="7901658D">
      <w:pPr>
        <w:pStyle w:val="19"/>
        <w:numPr>
          <w:ilvl w:val="0"/>
          <w:numId w:val="1"/>
        </w:numPr>
        <w:spacing w:after="60" w:line="340" w:lineRule="auto"/>
      </w:pPr>
      <w:r>
        <w:rPr>
          <w:rFonts w:ascii="宋体" w:hAnsi="宋体" w:eastAsia="宋体" w:cs="宋体"/>
          <w:sz w:val="24"/>
          <w:szCs w:val="24"/>
        </w:rPr>
        <w:t>无人机倾斜摄影：使用大疆M300 RTK搭载倾斜相机，飞行3个架次，获取航片3000余张</w:t>
      </w:r>
    </w:p>
    <w:p w14:paraId="488C1866">
      <w:pPr>
        <w:pStyle w:val="19"/>
        <w:numPr>
          <w:ilvl w:val="0"/>
          <w:numId w:val="1"/>
        </w:numPr>
        <w:spacing w:after="60" w:line="340" w:lineRule="auto"/>
      </w:pPr>
      <w:r>
        <w:rPr>
          <w:rFonts w:ascii="宋体" w:hAnsi="宋体" w:eastAsia="宋体" w:cs="宋体"/>
          <w:sz w:val="24"/>
          <w:szCs w:val="24"/>
        </w:rPr>
        <w:t>全景摄影：使用Insta360相机拍摄全景照片200个点位</w:t>
      </w:r>
    </w:p>
    <w:p w14:paraId="4E5ECC83">
      <w:pPr>
        <w:pStyle w:val="19"/>
        <w:numPr>
          <w:ilvl w:val="0"/>
          <w:numId w:val="1"/>
        </w:numPr>
        <w:spacing w:after="60" w:line="340" w:lineRule="auto"/>
      </w:pPr>
      <w:r>
        <w:rPr>
          <w:rFonts w:ascii="宋体" w:hAnsi="宋体" w:eastAsia="宋体" w:cs="宋体"/>
          <w:sz w:val="24"/>
          <w:szCs w:val="24"/>
        </w:rPr>
        <w:t>口述史采集：采访村民30余人，录制视频100余小时</w:t>
      </w:r>
    </w:p>
    <w:p w14:paraId="3D9EC4D3">
      <w:pPr>
        <w:pStyle w:val="19"/>
        <w:numPr>
          <w:ilvl w:val="0"/>
          <w:numId w:val="1"/>
        </w:numPr>
        <w:spacing w:after="60" w:line="340" w:lineRule="auto"/>
      </w:pPr>
      <w:r>
        <w:rPr>
          <w:rFonts w:ascii="宋体" w:hAnsi="宋体" w:eastAsia="宋体" w:cs="宋体"/>
          <w:sz w:val="24"/>
          <w:szCs w:val="24"/>
        </w:rPr>
        <w:t>传感器布设：在核心建筑中布设裂缝传感器、倾斜传感器和环境传感器</w:t>
      </w:r>
    </w:p>
    <w:p w14:paraId="02A200B8">
      <w:pPr>
        <w:spacing w:after="120" w:line="360" w:lineRule="auto"/>
        <w:jc w:val="both"/>
      </w:pPr>
      <w:r>
        <w:rPr>
          <w:rFonts w:ascii="宋体" w:hAnsi="宋体" w:eastAsia="宋体" w:cs="宋体"/>
          <w:b/>
          <w:bCs/>
          <w:sz w:val="24"/>
          <w:szCs w:val="24"/>
        </w:rPr>
        <w:t>主要成果。</w:t>
      </w:r>
    </w:p>
    <w:p w14:paraId="020E7F3A">
      <w:pPr>
        <w:pStyle w:val="19"/>
        <w:numPr>
          <w:ilvl w:val="0"/>
          <w:numId w:val="1"/>
        </w:numPr>
        <w:spacing w:after="60" w:line="340" w:lineRule="auto"/>
      </w:pPr>
      <w:r>
        <w:rPr>
          <w:rFonts w:ascii="宋体" w:hAnsi="宋体" w:eastAsia="宋体" w:cs="宋体"/>
          <w:sz w:val="24"/>
          <w:szCs w:val="24"/>
        </w:rPr>
        <w:t>云山屯三维实景模型（精度5厘米）</w:t>
      </w:r>
    </w:p>
    <w:p w14:paraId="38DE7A73">
      <w:pPr>
        <w:pStyle w:val="19"/>
        <w:numPr>
          <w:ilvl w:val="0"/>
          <w:numId w:val="1"/>
        </w:numPr>
        <w:spacing w:after="60" w:line="340" w:lineRule="auto"/>
      </w:pPr>
      <w:r>
        <w:rPr>
          <w:rFonts w:ascii="宋体" w:hAnsi="宋体" w:eastAsia="宋体" w:cs="宋体"/>
          <w:sz w:val="24"/>
          <w:szCs w:val="24"/>
        </w:rPr>
        <w:t>核心建筑HBIM模型（20栋）</w:t>
      </w:r>
    </w:p>
    <w:p w14:paraId="38F5011C">
      <w:pPr>
        <w:pStyle w:val="19"/>
        <w:numPr>
          <w:ilvl w:val="0"/>
          <w:numId w:val="1"/>
        </w:numPr>
        <w:spacing w:after="60" w:line="340" w:lineRule="auto"/>
      </w:pPr>
      <w:r>
        <w:rPr>
          <w:rFonts w:ascii="宋体" w:hAnsi="宋体" w:eastAsia="宋体" w:cs="宋体"/>
          <w:sz w:val="24"/>
          <w:szCs w:val="24"/>
        </w:rPr>
        <w:t>云山屯数字孪生平台原型</w:t>
      </w:r>
    </w:p>
    <w:p w14:paraId="6500F695">
      <w:pPr>
        <w:pStyle w:val="19"/>
        <w:numPr>
          <w:ilvl w:val="0"/>
          <w:numId w:val="1"/>
        </w:numPr>
        <w:spacing w:after="60" w:line="340" w:lineRule="auto"/>
      </w:pPr>
      <w:r>
        <w:rPr>
          <w:rFonts w:ascii="宋体" w:hAnsi="宋体" w:eastAsia="宋体" w:cs="宋体"/>
          <w:sz w:val="24"/>
          <w:szCs w:val="24"/>
        </w:rPr>
        <w:t>VR云游系统</w:t>
      </w:r>
    </w:p>
    <w:p w14:paraId="2B5FF7F9">
      <w:pPr>
        <w:pStyle w:val="19"/>
        <w:numPr>
          <w:ilvl w:val="0"/>
          <w:numId w:val="1"/>
        </w:numPr>
        <w:spacing w:after="60" w:line="340" w:lineRule="auto"/>
      </w:pPr>
      <w:r>
        <w:rPr>
          <w:rFonts w:ascii="宋体" w:hAnsi="宋体" w:eastAsia="宋体" w:cs="宋体"/>
          <w:sz w:val="24"/>
          <w:szCs w:val="24"/>
        </w:rPr>
        <w:t>村寨历史变迁数字复原（明代-清代-民国-当代四个时期）</w:t>
      </w:r>
    </w:p>
    <w:p w14:paraId="131E4A0B">
      <w:pPr>
        <w:spacing w:after="120" w:line="360" w:lineRule="auto"/>
        <w:jc w:val="both"/>
      </w:pPr>
      <w:r>
        <w:rPr>
          <w:rFonts w:ascii="宋体" w:hAnsi="宋体" w:eastAsia="宋体" w:cs="宋体"/>
          <w:b/>
          <w:bCs/>
          <w:sz w:val="24"/>
          <w:szCs w:val="24"/>
        </w:rPr>
        <w:t>经验启示。</w:t>
      </w:r>
    </w:p>
    <w:p w14:paraId="5A9E0E69">
      <w:pPr>
        <w:pStyle w:val="19"/>
        <w:numPr>
          <w:ilvl w:val="0"/>
          <w:numId w:val="1"/>
        </w:numPr>
        <w:spacing w:after="60" w:line="340" w:lineRule="auto"/>
      </w:pPr>
      <w:r>
        <w:rPr>
          <w:rFonts w:ascii="宋体" w:hAnsi="宋体" w:eastAsia="宋体" w:cs="宋体"/>
          <w:sz w:val="24"/>
          <w:szCs w:val="24"/>
        </w:rPr>
        <w:t>高校科研力量与地方文物部门的紧密合作是成功的关键</w:t>
      </w:r>
    </w:p>
    <w:p w14:paraId="5D71FD3D">
      <w:pPr>
        <w:pStyle w:val="19"/>
        <w:numPr>
          <w:ilvl w:val="0"/>
          <w:numId w:val="1"/>
        </w:numPr>
        <w:spacing w:after="60" w:line="340" w:lineRule="auto"/>
      </w:pPr>
      <w:r>
        <w:rPr>
          <w:rFonts w:ascii="宋体" w:hAnsi="宋体" w:eastAsia="宋体" w:cs="宋体"/>
          <w:sz w:val="24"/>
          <w:szCs w:val="24"/>
        </w:rPr>
        <w:t>口述史采集增强了村民的文化自觉和参与意愿</w:t>
      </w:r>
    </w:p>
    <w:p w14:paraId="5CCDF608">
      <w:pPr>
        <w:pStyle w:val="19"/>
        <w:numPr>
          <w:ilvl w:val="0"/>
          <w:numId w:val="1"/>
        </w:numPr>
        <w:spacing w:after="60" w:line="340" w:lineRule="auto"/>
      </w:pPr>
      <w:r>
        <w:rPr>
          <w:rFonts w:ascii="宋体" w:hAnsi="宋体" w:eastAsia="宋体" w:cs="宋体"/>
          <w:sz w:val="24"/>
          <w:szCs w:val="24"/>
        </w:rPr>
        <w:t>分期实施、滚动推进的策略适合大型文化遗产数字化项目</w:t>
      </w:r>
    </w:p>
    <w:p w14:paraId="204EFE6A">
      <w:pPr>
        <w:pStyle w:val="3"/>
        <w:spacing w:before="300" w:after="200"/>
      </w:pPr>
      <w:bookmarkStart w:id="370" w:name="_Toc30919"/>
      <w:r>
        <w:rPr>
          <w:rFonts w:ascii="黑体" w:hAnsi="黑体" w:eastAsia="黑体" w:cs="黑体"/>
          <w:b/>
          <w:bCs/>
          <w:color w:val="000000"/>
          <w:sz w:val="28"/>
          <w:szCs w:val="28"/>
        </w:rPr>
        <w:t>C.2 贵州大学"黔影新生"AI文创项目</w:t>
      </w:r>
      <w:bookmarkEnd w:id="370"/>
    </w:p>
    <w:p w14:paraId="57062D7C">
      <w:pPr>
        <w:spacing w:after="120" w:line="360" w:lineRule="auto"/>
        <w:jc w:val="both"/>
      </w:pPr>
      <w:r>
        <w:rPr>
          <w:rFonts w:ascii="宋体" w:hAnsi="宋体" w:eastAsia="宋体" w:cs="宋体"/>
          <w:b/>
          <w:bCs/>
          <w:sz w:val="24"/>
          <w:szCs w:val="24"/>
        </w:rPr>
        <w:t>项目概况。</w:t>
      </w:r>
      <w:r>
        <w:rPr>
          <w:rFonts w:ascii="宋体" w:hAnsi="宋体" w:eastAsia="宋体" w:cs="宋体"/>
          <w:sz w:val="24"/>
          <w:szCs w:val="24"/>
        </w:rPr>
        <w:t xml:space="preserve"> 2025-2026年，贵州大学美术学院"黔影新生"团队将安顺地戏面具、自然风光等本土文旅元素与现代数字技术相融合，开发了一系列AI驱动的文创产品。</w:t>
      </w:r>
    </w:p>
    <w:p w14:paraId="6BBE0E64">
      <w:pPr>
        <w:spacing w:after="120" w:line="360" w:lineRule="auto"/>
        <w:jc w:val="both"/>
      </w:pPr>
      <w:r>
        <w:rPr>
          <w:rFonts w:ascii="宋体" w:hAnsi="宋体" w:eastAsia="宋体" w:cs="宋体"/>
          <w:b/>
          <w:bCs/>
          <w:sz w:val="24"/>
          <w:szCs w:val="24"/>
        </w:rPr>
        <w:t>技术方案。</w:t>
      </w:r>
    </w:p>
    <w:p w14:paraId="081DAC5D">
      <w:pPr>
        <w:pStyle w:val="19"/>
        <w:numPr>
          <w:ilvl w:val="0"/>
          <w:numId w:val="1"/>
        </w:numPr>
        <w:spacing w:after="60" w:line="340" w:lineRule="auto"/>
      </w:pPr>
      <w:r>
        <w:rPr>
          <w:rFonts w:ascii="宋体" w:hAnsi="宋体" w:eastAsia="宋体" w:cs="宋体"/>
          <w:sz w:val="24"/>
          <w:szCs w:val="24"/>
        </w:rPr>
        <w:t>使用Stable Diffusion等AI图像生成工具，学习传统地戏面具的风格特征</w:t>
      </w:r>
    </w:p>
    <w:p w14:paraId="14B00AC5">
      <w:pPr>
        <w:pStyle w:val="19"/>
        <w:numPr>
          <w:ilvl w:val="0"/>
          <w:numId w:val="1"/>
        </w:numPr>
        <w:spacing w:after="60" w:line="340" w:lineRule="auto"/>
      </w:pPr>
      <w:r>
        <w:rPr>
          <w:rFonts w:ascii="宋体" w:hAnsi="宋体" w:eastAsia="宋体" w:cs="宋体"/>
          <w:sz w:val="24"/>
          <w:szCs w:val="24"/>
        </w:rPr>
        <w:t>将传统面具"复原"为色彩鲜艳的原始面貌</w:t>
      </w:r>
    </w:p>
    <w:p w14:paraId="36F6F99E">
      <w:pPr>
        <w:pStyle w:val="19"/>
        <w:numPr>
          <w:ilvl w:val="0"/>
          <w:numId w:val="1"/>
        </w:numPr>
        <w:spacing w:after="60" w:line="340" w:lineRule="auto"/>
      </w:pPr>
      <w:r>
        <w:rPr>
          <w:rFonts w:ascii="宋体" w:hAnsi="宋体" w:eastAsia="宋体" w:cs="宋体"/>
          <w:sz w:val="24"/>
          <w:szCs w:val="24"/>
        </w:rPr>
        <w:t>生成会眨眼、会说话的AI动画角色</w:t>
      </w:r>
    </w:p>
    <w:p w14:paraId="627EC5A6">
      <w:pPr>
        <w:pStyle w:val="19"/>
        <w:numPr>
          <w:ilvl w:val="0"/>
          <w:numId w:val="1"/>
        </w:numPr>
        <w:spacing w:after="60" w:line="340" w:lineRule="auto"/>
      </w:pPr>
      <w:r>
        <w:rPr>
          <w:rFonts w:ascii="宋体" w:hAnsi="宋体" w:eastAsia="宋体" w:cs="宋体"/>
          <w:sz w:val="24"/>
          <w:szCs w:val="24"/>
        </w:rPr>
        <w:t>开发表情包、盲盒、服饰配饰等系列产品</w:t>
      </w:r>
    </w:p>
    <w:p w14:paraId="6F6D1F07">
      <w:pPr>
        <w:spacing w:after="120" w:line="360" w:lineRule="auto"/>
        <w:jc w:val="both"/>
      </w:pPr>
      <w:r>
        <w:rPr>
          <w:rFonts w:ascii="宋体" w:hAnsi="宋体" w:eastAsia="宋体" w:cs="宋体"/>
          <w:b/>
          <w:bCs/>
          <w:sz w:val="24"/>
          <w:szCs w:val="24"/>
        </w:rPr>
        <w:t>主要成果。</w:t>
      </w:r>
    </w:p>
    <w:p w14:paraId="27F40EDF">
      <w:pPr>
        <w:pStyle w:val="19"/>
        <w:numPr>
          <w:ilvl w:val="0"/>
          <w:numId w:val="1"/>
        </w:numPr>
        <w:spacing w:after="60" w:line="340" w:lineRule="auto"/>
      </w:pPr>
      <w:r>
        <w:rPr>
          <w:rFonts w:ascii="宋体" w:hAnsi="宋体" w:eastAsia="宋体" w:cs="宋体"/>
          <w:sz w:val="24"/>
          <w:szCs w:val="24"/>
        </w:rPr>
        <w:t>AI动画角色系列12个</w:t>
      </w:r>
    </w:p>
    <w:p w14:paraId="286B5D9F">
      <w:pPr>
        <w:pStyle w:val="19"/>
        <w:numPr>
          <w:ilvl w:val="0"/>
          <w:numId w:val="1"/>
        </w:numPr>
        <w:spacing w:after="60" w:line="340" w:lineRule="auto"/>
      </w:pPr>
      <w:r>
        <w:rPr>
          <w:rFonts w:ascii="宋体" w:hAnsi="宋体" w:eastAsia="宋体" w:cs="宋体"/>
          <w:sz w:val="24"/>
          <w:szCs w:val="24"/>
        </w:rPr>
        <w:t>微信表情包下载量超50万次</w:t>
      </w:r>
    </w:p>
    <w:p w14:paraId="33B3E23A">
      <w:pPr>
        <w:pStyle w:val="19"/>
        <w:numPr>
          <w:ilvl w:val="0"/>
          <w:numId w:val="1"/>
        </w:numPr>
        <w:spacing w:after="60" w:line="340" w:lineRule="auto"/>
      </w:pPr>
      <w:r>
        <w:rPr>
          <w:rFonts w:ascii="宋体" w:hAnsi="宋体" w:eastAsia="宋体" w:cs="宋体"/>
          <w:sz w:val="24"/>
          <w:szCs w:val="24"/>
        </w:rPr>
        <w:t>盲盒单品月销万件</w:t>
      </w:r>
    </w:p>
    <w:p w14:paraId="0AFE75C0">
      <w:pPr>
        <w:pStyle w:val="19"/>
        <w:numPr>
          <w:ilvl w:val="0"/>
          <w:numId w:val="1"/>
        </w:numPr>
        <w:spacing w:after="60" w:line="340" w:lineRule="auto"/>
      </w:pPr>
      <w:r>
        <w:rPr>
          <w:rFonts w:ascii="宋体" w:hAnsi="宋体" w:eastAsia="宋体" w:cs="宋体"/>
          <w:sz w:val="24"/>
          <w:szCs w:val="24"/>
        </w:rPr>
        <w:t>在黄果树景区开设文创专柜</w:t>
      </w:r>
    </w:p>
    <w:p w14:paraId="41E5B911">
      <w:pPr>
        <w:pStyle w:val="19"/>
        <w:numPr>
          <w:ilvl w:val="0"/>
          <w:numId w:val="1"/>
        </w:numPr>
        <w:spacing w:after="60" w:line="340" w:lineRule="auto"/>
      </w:pPr>
      <w:r>
        <w:rPr>
          <w:rFonts w:ascii="宋体" w:hAnsi="宋体" w:eastAsia="宋体" w:cs="宋体"/>
          <w:sz w:val="24"/>
          <w:szCs w:val="24"/>
        </w:rPr>
        <w:t>与深圳潮玩公司达成IP授权合作（年授权费50万元+销售分成）</w:t>
      </w:r>
    </w:p>
    <w:p w14:paraId="3BBF50C4">
      <w:pPr>
        <w:spacing w:after="120" w:line="360" w:lineRule="auto"/>
        <w:jc w:val="both"/>
      </w:pPr>
      <w:r>
        <w:rPr>
          <w:rFonts w:ascii="宋体" w:hAnsi="宋体" w:eastAsia="宋体" w:cs="宋体"/>
          <w:b/>
          <w:bCs/>
          <w:sz w:val="24"/>
          <w:szCs w:val="24"/>
        </w:rPr>
        <w:t>经验启示。</w:t>
      </w:r>
    </w:p>
    <w:p w14:paraId="60756B14">
      <w:pPr>
        <w:pStyle w:val="19"/>
        <w:numPr>
          <w:ilvl w:val="0"/>
          <w:numId w:val="1"/>
        </w:numPr>
        <w:spacing w:after="60" w:line="340" w:lineRule="auto"/>
      </w:pPr>
      <w:r>
        <w:rPr>
          <w:rFonts w:ascii="宋体" w:hAnsi="宋体" w:eastAsia="宋体" w:cs="宋体"/>
          <w:sz w:val="24"/>
          <w:szCs w:val="24"/>
        </w:rPr>
        <w:t>AI可以成为传统文化创造性转化的有力工具</w:t>
      </w:r>
    </w:p>
    <w:p w14:paraId="3680EEDD">
      <w:pPr>
        <w:pStyle w:val="19"/>
        <w:numPr>
          <w:ilvl w:val="0"/>
          <w:numId w:val="1"/>
        </w:numPr>
        <w:spacing w:after="60" w:line="340" w:lineRule="auto"/>
      </w:pPr>
      <w:r>
        <w:rPr>
          <w:rFonts w:ascii="宋体" w:hAnsi="宋体" w:eastAsia="宋体" w:cs="宋体"/>
          <w:sz w:val="24"/>
          <w:szCs w:val="24"/>
        </w:rPr>
        <w:t>"传统内核+现代表达"是吸引年轻消费者的有效策略</w:t>
      </w:r>
    </w:p>
    <w:p w14:paraId="77832F94">
      <w:pPr>
        <w:pStyle w:val="19"/>
        <w:numPr>
          <w:ilvl w:val="0"/>
          <w:numId w:val="1"/>
        </w:numPr>
        <w:spacing w:after="60" w:line="340" w:lineRule="auto"/>
      </w:pPr>
      <w:r>
        <w:rPr>
          <w:rFonts w:ascii="宋体" w:hAnsi="宋体" w:eastAsia="宋体" w:cs="宋体"/>
          <w:sz w:val="24"/>
          <w:szCs w:val="24"/>
        </w:rPr>
        <w:t>IP授权模式可以突破地域限制，放大文化价值</w:t>
      </w:r>
    </w:p>
    <w:p w14:paraId="0EF2009F">
      <w:pPr>
        <w:pStyle w:val="3"/>
        <w:spacing w:before="300" w:after="200"/>
      </w:pPr>
      <w:bookmarkStart w:id="371" w:name="_Toc21483"/>
      <w:r>
        <w:rPr>
          <w:rFonts w:ascii="黑体" w:hAnsi="黑体" w:eastAsia="黑体" w:cs="黑体"/>
          <w:b/>
          <w:bCs/>
          <w:color w:val="000000"/>
          <w:sz w:val="28"/>
          <w:szCs w:val="28"/>
        </w:rPr>
        <w:t>C.3 天龙屯堡智慧景区建设</w:t>
      </w:r>
      <w:bookmarkEnd w:id="371"/>
    </w:p>
    <w:p w14:paraId="49671EE2">
      <w:pPr>
        <w:spacing w:after="120" w:line="360" w:lineRule="auto"/>
        <w:jc w:val="both"/>
      </w:pPr>
      <w:r>
        <w:rPr>
          <w:rFonts w:ascii="宋体" w:hAnsi="宋体" w:eastAsia="宋体" w:cs="宋体"/>
          <w:b/>
          <w:bCs/>
          <w:sz w:val="24"/>
          <w:szCs w:val="24"/>
        </w:rPr>
        <w:t>项目概况。</w:t>
      </w:r>
      <w:r>
        <w:rPr>
          <w:rFonts w:ascii="宋体" w:hAnsi="宋体" w:eastAsia="宋体" w:cs="宋体"/>
          <w:sz w:val="24"/>
          <w:szCs w:val="24"/>
        </w:rPr>
        <w:t xml:space="preserve"> 天龙屯堡景区引入智慧化管理手段，提升游客体验和管理效率。</w:t>
      </w:r>
    </w:p>
    <w:p w14:paraId="52BA3501">
      <w:pPr>
        <w:spacing w:after="120" w:line="360" w:lineRule="auto"/>
        <w:jc w:val="both"/>
      </w:pPr>
      <w:r>
        <w:rPr>
          <w:rFonts w:ascii="宋体" w:hAnsi="宋体" w:eastAsia="宋体" w:cs="宋体"/>
          <w:b/>
          <w:bCs/>
          <w:sz w:val="24"/>
          <w:szCs w:val="24"/>
        </w:rPr>
        <w:t>建设内容。</w:t>
      </w:r>
    </w:p>
    <w:p w14:paraId="3283C42B">
      <w:pPr>
        <w:pStyle w:val="19"/>
        <w:numPr>
          <w:ilvl w:val="0"/>
          <w:numId w:val="1"/>
        </w:numPr>
        <w:spacing w:after="60" w:line="340" w:lineRule="auto"/>
      </w:pPr>
      <w:r>
        <w:rPr>
          <w:rFonts w:ascii="宋体" w:hAnsi="宋体" w:eastAsia="宋体" w:cs="宋体"/>
          <w:sz w:val="24"/>
          <w:szCs w:val="24"/>
        </w:rPr>
        <w:t>电子票务系统：实现线上预约、扫码入园</w:t>
      </w:r>
    </w:p>
    <w:p w14:paraId="4C89DBA4">
      <w:pPr>
        <w:pStyle w:val="19"/>
        <w:numPr>
          <w:ilvl w:val="0"/>
          <w:numId w:val="1"/>
        </w:numPr>
        <w:spacing w:after="60" w:line="340" w:lineRule="auto"/>
      </w:pPr>
      <w:r>
        <w:rPr>
          <w:rFonts w:ascii="宋体" w:hAnsi="宋体" w:eastAsia="宋体" w:cs="宋体"/>
          <w:sz w:val="24"/>
          <w:szCs w:val="24"/>
        </w:rPr>
        <w:t>智能导览系统：基于微信小程序的语音导览和AR增强导览</w:t>
      </w:r>
    </w:p>
    <w:p w14:paraId="707FAC88">
      <w:pPr>
        <w:pStyle w:val="19"/>
        <w:numPr>
          <w:ilvl w:val="0"/>
          <w:numId w:val="1"/>
        </w:numPr>
        <w:spacing w:after="60" w:line="340" w:lineRule="auto"/>
      </w:pPr>
      <w:r>
        <w:rPr>
          <w:rFonts w:ascii="宋体" w:hAnsi="宋体" w:eastAsia="宋体" w:cs="宋体"/>
          <w:sz w:val="24"/>
          <w:szCs w:val="24"/>
        </w:rPr>
        <w:t>客流监测系统：通过视频AI分析实时统计游客数量，预警拥堵</w:t>
      </w:r>
    </w:p>
    <w:p w14:paraId="2482B244">
      <w:pPr>
        <w:pStyle w:val="19"/>
        <w:numPr>
          <w:ilvl w:val="0"/>
          <w:numId w:val="1"/>
        </w:numPr>
        <w:spacing w:after="60" w:line="340" w:lineRule="auto"/>
      </w:pPr>
      <w:r>
        <w:rPr>
          <w:rFonts w:ascii="宋体" w:hAnsi="宋体" w:eastAsia="宋体" w:cs="宋体"/>
          <w:sz w:val="24"/>
          <w:szCs w:val="24"/>
        </w:rPr>
        <w:t>环境监测系统：监测空气质量、噪声、温湿度等指标</w:t>
      </w:r>
    </w:p>
    <w:p w14:paraId="6E29D990">
      <w:pPr>
        <w:pStyle w:val="19"/>
        <w:numPr>
          <w:ilvl w:val="0"/>
          <w:numId w:val="1"/>
        </w:numPr>
        <w:spacing w:after="60" w:line="340" w:lineRule="auto"/>
      </w:pPr>
      <w:r>
        <w:rPr>
          <w:rFonts w:ascii="宋体" w:hAnsi="宋体" w:eastAsia="宋体" w:cs="宋体"/>
          <w:sz w:val="24"/>
          <w:szCs w:val="24"/>
        </w:rPr>
        <w:t>数字孪生管理平台：整合各子系统数据，支持管理决策</w:t>
      </w:r>
    </w:p>
    <w:p w14:paraId="58814D2D">
      <w:pPr>
        <w:spacing w:after="120" w:line="360" w:lineRule="auto"/>
        <w:jc w:val="both"/>
      </w:pPr>
      <w:r>
        <w:rPr>
          <w:rFonts w:ascii="宋体" w:hAnsi="宋体" w:eastAsia="宋体" w:cs="宋体"/>
          <w:b/>
          <w:bCs/>
          <w:sz w:val="24"/>
          <w:szCs w:val="24"/>
        </w:rPr>
        <w:t>主要成效。</w:t>
      </w:r>
    </w:p>
    <w:p w14:paraId="37BCB67B">
      <w:pPr>
        <w:pStyle w:val="19"/>
        <w:numPr>
          <w:ilvl w:val="0"/>
          <w:numId w:val="1"/>
        </w:numPr>
        <w:spacing w:after="60" w:line="340" w:lineRule="auto"/>
      </w:pPr>
      <w:r>
        <w:rPr>
          <w:rFonts w:ascii="宋体" w:hAnsi="宋体" w:eastAsia="宋体" w:cs="宋体"/>
          <w:sz w:val="24"/>
          <w:szCs w:val="24"/>
        </w:rPr>
        <w:t>旺季排队时间从平均30分钟缩短至5分钟</w:t>
      </w:r>
    </w:p>
    <w:p w14:paraId="15E0E412">
      <w:pPr>
        <w:pStyle w:val="19"/>
        <w:numPr>
          <w:ilvl w:val="0"/>
          <w:numId w:val="1"/>
        </w:numPr>
        <w:spacing w:after="60" w:line="340" w:lineRule="auto"/>
      </w:pPr>
      <w:r>
        <w:rPr>
          <w:rFonts w:ascii="宋体" w:hAnsi="宋体" w:eastAsia="宋体" w:cs="宋体"/>
          <w:sz w:val="24"/>
          <w:szCs w:val="24"/>
        </w:rPr>
        <w:t>游客满意度提升12个百分点</w:t>
      </w:r>
    </w:p>
    <w:p w14:paraId="12C3A331">
      <w:pPr>
        <w:pStyle w:val="19"/>
        <w:numPr>
          <w:ilvl w:val="0"/>
          <w:numId w:val="1"/>
        </w:numPr>
        <w:spacing w:after="60" w:line="340" w:lineRule="auto"/>
      </w:pPr>
      <w:r>
        <w:rPr>
          <w:rFonts w:ascii="宋体" w:hAnsi="宋体" w:eastAsia="宋体" w:cs="宋体"/>
          <w:sz w:val="24"/>
          <w:szCs w:val="24"/>
        </w:rPr>
        <w:t>管理人力成本降低15%</w:t>
      </w:r>
    </w:p>
    <w:p w14:paraId="32A2E740">
      <w:pPr>
        <w:pStyle w:val="3"/>
        <w:spacing w:before="300" w:after="200"/>
      </w:pPr>
      <w:bookmarkStart w:id="372" w:name="_Toc24003"/>
      <w:r>
        <w:rPr>
          <w:rFonts w:ascii="黑体" w:hAnsi="黑体" w:eastAsia="黑体" w:cs="黑体"/>
          <w:b/>
          <w:bCs/>
          <w:color w:val="000000"/>
          <w:sz w:val="28"/>
          <w:szCs w:val="28"/>
        </w:rPr>
        <w:t>C.4 安顺学院屯堡文化知识图谱</w:t>
      </w:r>
      <w:bookmarkEnd w:id="372"/>
    </w:p>
    <w:p w14:paraId="4A5D4284">
      <w:pPr>
        <w:spacing w:after="120" w:line="360" w:lineRule="auto"/>
        <w:jc w:val="both"/>
      </w:pPr>
      <w:r>
        <w:rPr>
          <w:rFonts w:ascii="宋体" w:hAnsi="宋体" w:eastAsia="宋体" w:cs="宋体"/>
          <w:b/>
          <w:bCs/>
          <w:sz w:val="24"/>
          <w:szCs w:val="24"/>
        </w:rPr>
        <w:t>项目概况。</w:t>
      </w:r>
      <w:r>
        <w:rPr>
          <w:rFonts w:ascii="宋体" w:hAnsi="宋体" w:eastAsia="宋体" w:cs="宋体"/>
          <w:sz w:val="24"/>
          <w:szCs w:val="24"/>
        </w:rPr>
        <w:t xml:space="preserve"> 2025年，安顺学院数字文旅专业研究团队启动屯堡文化知识图谱建设。</w:t>
      </w:r>
    </w:p>
    <w:p w14:paraId="1057BB31">
      <w:pPr>
        <w:spacing w:after="120" w:line="360" w:lineRule="auto"/>
        <w:jc w:val="both"/>
      </w:pPr>
      <w:r>
        <w:rPr>
          <w:rFonts w:ascii="宋体" w:hAnsi="宋体" w:eastAsia="宋体" w:cs="宋体"/>
          <w:b/>
          <w:bCs/>
          <w:sz w:val="24"/>
          <w:szCs w:val="24"/>
        </w:rPr>
        <w:t>建设内容。</w:t>
      </w:r>
    </w:p>
    <w:p w14:paraId="4CAE3CAD">
      <w:pPr>
        <w:pStyle w:val="19"/>
        <w:numPr>
          <w:ilvl w:val="0"/>
          <w:numId w:val="1"/>
        </w:numPr>
        <w:spacing w:after="60" w:line="340" w:lineRule="auto"/>
      </w:pPr>
      <w:r>
        <w:rPr>
          <w:rFonts w:ascii="宋体" w:hAnsi="宋体" w:eastAsia="宋体" w:cs="宋体"/>
          <w:sz w:val="24"/>
          <w:szCs w:val="24"/>
        </w:rPr>
        <w:t>从学术论文、地方志、调查报告、家谱等来源提取约5万条实体信息</w:t>
      </w:r>
    </w:p>
    <w:p w14:paraId="25F37FCF">
      <w:pPr>
        <w:pStyle w:val="19"/>
        <w:numPr>
          <w:ilvl w:val="0"/>
          <w:numId w:val="1"/>
        </w:numPr>
        <w:spacing w:after="60" w:line="340" w:lineRule="auto"/>
      </w:pPr>
      <w:r>
        <w:rPr>
          <w:rFonts w:ascii="宋体" w:hAnsi="宋体" w:eastAsia="宋体" w:cs="宋体"/>
          <w:sz w:val="24"/>
          <w:szCs w:val="24"/>
        </w:rPr>
        <w:t>定义20余种关系类型（传承、位于、属于、表演等）</w:t>
      </w:r>
    </w:p>
    <w:p w14:paraId="0BF30622">
      <w:pPr>
        <w:pStyle w:val="19"/>
        <w:numPr>
          <w:ilvl w:val="0"/>
          <w:numId w:val="1"/>
        </w:numPr>
        <w:spacing w:after="60" w:line="340" w:lineRule="auto"/>
      </w:pPr>
      <w:r>
        <w:rPr>
          <w:rFonts w:ascii="宋体" w:hAnsi="宋体" w:eastAsia="宋体" w:cs="宋体"/>
          <w:sz w:val="24"/>
          <w:szCs w:val="24"/>
        </w:rPr>
        <w:t>构建包含10万条关联的知识网络</w:t>
      </w:r>
    </w:p>
    <w:p w14:paraId="3F8BBCA1">
      <w:pPr>
        <w:pStyle w:val="19"/>
        <w:numPr>
          <w:ilvl w:val="0"/>
          <w:numId w:val="1"/>
        </w:numPr>
        <w:spacing w:after="60" w:line="340" w:lineRule="auto"/>
      </w:pPr>
      <w:r>
        <w:rPr>
          <w:rFonts w:ascii="宋体" w:hAnsi="宋体" w:eastAsia="宋体" w:cs="宋体"/>
          <w:sz w:val="24"/>
          <w:szCs w:val="24"/>
        </w:rPr>
        <w:t>开发知识图谱检索和可视化系统</w:t>
      </w:r>
    </w:p>
    <w:p w14:paraId="45CFFE6B">
      <w:pPr>
        <w:spacing w:after="120" w:line="360" w:lineRule="auto"/>
        <w:jc w:val="both"/>
      </w:pPr>
      <w:r>
        <w:rPr>
          <w:rFonts w:ascii="宋体" w:hAnsi="宋体" w:eastAsia="宋体" w:cs="宋体"/>
          <w:b/>
          <w:bCs/>
          <w:sz w:val="24"/>
          <w:szCs w:val="24"/>
        </w:rPr>
        <w:t>主要功能。</w:t>
      </w:r>
    </w:p>
    <w:p w14:paraId="1ABDF457">
      <w:pPr>
        <w:pStyle w:val="19"/>
        <w:numPr>
          <w:ilvl w:val="0"/>
          <w:numId w:val="1"/>
        </w:numPr>
        <w:spacing w:after="60" w:line="340" w:lineRule="auto"/>
      </w:pPr>
      <w:r>
        <w:rPr>
          <w:rFonts w:ascii="宋体" w:hAnsi="宋体" w:eastAsia="宋体" w:cs="宋体"/>
          <w:sz w:val="24"/>
          <w:szCs w:val="24"/>
        </w:rPr>
        <w:t>智能检索：输入关键词，返回关联的多维信息</w:t>
      </w:r>
    </w:p>
    <w:p w14:paraId="6E56E99A">
      <w:pPr>
        <w:pStyle w:val="19"/>
        <w:numPr>
          <w:ilvl w:val="0"/>
          <w:numId w:val="1"/>
        </w:numPr>
        <w:spacing w:after="60" w:line="340" w:lineRule="auto"/>
      </w:pPr>
      <w:r>
        <w:rPr>
          <w:rFonts w:ascii="宋体" w:hAnsi="宋体" w:eastAsia="宋体" w:cs="宋体"/>
          <w:sz w:val="24"/>
          <w:szCs w:val="24"/>
        </w:rPr>
        <w:t>传承谱系可视化：以图谱形式展示地戏、雕刻等技艺的师徒传承脉络</w:t>
      </w:r>
    </w:p>
    <w:p w14:paraId="50EAE57B">
      <w:pPr>
        <w:pStyle w:val="19"/>
        <w:numPr>
          <w:ilvl w:val="0"/>
          <w:numId w:val="1"/>
        </w:numPr>
        <w:spacing w:after="60" w:line="340" w:lineRule="auto"/>
      </w:pPr>
      <w:r>
        <w:rPr>
          <w:rFonts w:ascii="宋体" w:hAnsi="宋体" w:eastAsia="宋体" w:cs="宋体"/>
          <w:sz w:val="24"/>
          <w:szCs w:val="24"/>
        </w:rPr>
        <w:t>关联发现：发现不同文化要素之间的隐藏关联</w:t>
      </w:r>
    </w:p>
    <w:p w14:paraId="059E6ED3">
      <w:pPr>
        <w:pStyle w:val="19"/>
        <w:numPr>
          <w:ilvl w:val="0"/>
          <w:numId w:val="1"/>
        </w:numPr>
        <w:spacing w:after="60" w:line="340" w:lineRule="auto"/>
      </w:pPr>
      <w:r>
        <w:rPr>
          <w:rFonts w:ascii="宋体" w:hAnsi="宋体" w:eastAsia="宋体" w:cs="宋体"/>
          <w:sz w:val="24"/>
          <w:szCs w:val="24"/>
        </w:rPr>
        <w:t>智能问答：基于知识图谱的文化问答</w:t>
      </w:r>
    </w:p>
    <w:p w14:paraId="48D9D980">
      <w:pPr>
        <w:pStyle w:val="3"/>
        <w:spacing w:before="300" w:after="200"/>
      </w:pPr>
      <w:bookmarkStart w:id="373" w:name="_Toc930"/>
      <w:r>
        <w:rPr>
          <w:rFonts w:ascii="黑体" w:hAnsi="黑体" w:eastAsia="黑体" w:cs="黑体"/>
          <w:b/>
          <w:bCs/>
          <w:color w:val="000000"/>
          <w:sz w:val="28"/>
          <w:szCs w:val="28"/>
        </w:rPr>
        <w:t>C.5 鲍家屯古水利系统数字化监测</w:t>
      </w:r>
      <w:bookmarkEnd w:id="373"/>
    </w:p>
    <w:p w14:paraId="6698F2C5">
      <w:pPr>
        <w:spacing w:after="120" w:line="360" w:lineRule="auto"/>
        <w:jc w:val="both"/>
      </w:pPr>
      <w:r>
        <w:rPr>
          <w:rFonts w:ascii="宋体" w:hAnsi="宋体" w:eastAsia="宋体" w:cs="宋体"/>
          <w:b/>
          <w:bCs/>
          <w:sz w:val="24"/>
          <w:szCs w:val="24"/>
        </w:rPr>
        <w:t>项目概况。</w:t>
      </w:r>
      <w:r>
        <w:rPr>
          <w:rFonts w:ascii="宋体" w:hAnsi="宋体" w:eastAsia="宋体" w:cs="宋体"/>
          <w:sz w:val="24"/>
          <w:szCs w:val="24"/>
        </w:rPr>
        <w:t xml:space="preserve"> 水利部门在鲍家屯古水利系统关键节点布设传感器，实现数字化监测。</w:t>
      </w:r>
    </w:p>
    <w:p w14:paraId="73FA738A">
      <w:pPr>
        <w:spacing w:after="120" w:line="360" w:lineRule="auto"/>
        <w:jc w:val="both"/>
      </w:pPr>
      <w:r>
        <w:rPr>
          <w:rFonts w:ascii="宋体" w:hAnsi="宋体" w:eastAsia="宋体" w:cs="宋体"/>
          <w:b/>
          <w:bCs/>
          <w:sz w:val="24"/>
          <w:szCs w:val="24"/>
        </w:rPr>
        <w:t>建设内容。</w:t>
      </w:r>
    </w:p>
    <w:p w14:paraId="640915BF">
      <w:pPr>
        <w:pStyle w:val="19"/>
        <w:numPr>
          <w:ilvl w:val="0"/>
          <w:numId w:val="1"/>
        </w:numPr>
        <w:spacing w:after="60" w:line="340" w:lineRule="auto"/>
      </w:pPr>
      <w:r>
        <w:rPr>
          <w:rFonts w:ascii="宋体" w:hAnsi="宋体" w:eastAsia="宋体" w:cs="宋体"/>
          <w:sz w:val="24"/>
          <w:szCs w:val="24"/>
        </w:rPr>
        <w:t>在拦河坝、分水闸等关键位置布设水位传感器和流量传感器</w:t>
      </w:r>
    </w:p>
    <w:p w14:paraId="7F8277DB">
      <w:pPr>
        <w:pStyle w:val="19"/>
        <w:numPr>
          <w:ilvl w:val="0"/>
          <w:numId w:val="1"/>
        </w:numPr>
        <w:spacing w:after="60" w:line="340" w:lineRule="auto"/>
      </w:pPr>
      <w:r>
        <w:rPr>
          <w:rFonts w:ascii="宋体" w:hAnsi="宋体" w:eastAsia="宋体" w:cs="宋体"/>
          <w:sz w:val="24"/>
          <w:szCs w:val="24"/>
        </w:rPr>
        <w:t>在古坝体布设位移传感器和裂缝传感器</w:t>
      </w:r>
    </w:p>
    <w:p w14:paraId="20B43769">
      <w:pPr>
        <w:pStyle w:val="19"/>
        <w:numPr>
          <w:ilvl w:val="0"/>
          <w:numId w:val="1"/>
        </w:numPr>
        <w:spacing w:after="60" w:line="340" w:lineRule="auto"/>
      </w:pPr>
      <w:r>
        <w:rPr>
          <w:rFonts w:ascii="宋体" w:hAnsi="宋体" w:eastAsia="宋体" w:cs="宋体"/>
          <w:sz w:val="24"/>
          <w:szCs w:val="24"/>
        </w:rPr>
        <w:t>数据通过LoRa无线网络传输至云平台</w:t>
      </w:r>
    </w:p>
    <w:p w14:paraId="0704D82D">
      <w:pPr>
        <w:pStyle w:val="19"/>
        <w:numPr>
          <w:ilvl w:val="0"/>
          <w:numId w:val="1"/>
        </w:numPr>
        <w:spacing w:after="60" w:line="340" w:lineRule="auto"/>
      </w:pPr>
      <w:r>
        <w:rPr>
          <w:rFonts w:ascii="宋体" w:hAnsi="宋体" w:eastAsia="宋体" w:cs="宋体"/>
          <w:sz w:val="24"/>
          <w:szCs w:val="24"/>
        </w:rPr>
        <w:t>开发水利系统数字孪生模型，模拟不同工况下的水流情况</w:t>
      </w:r>
    </w:p>
    <w:p w14:paraId="178F900A">
      <w:pPr>
        <w:spacing w:after="120" w:line="360" w:lineRule="auto"/>
        <w:jc w:val="both"/>
      </w:pPr>
      <w:r>
        <w:rPr>
          <w:rFonts w:ascii="宋体" w:hAnsi="宋体" w:eastAsia="宋体" w:cs="宋体"/>
          <w:b/>
          <w:bCs/>
          <w:sz w:val="24"/>
          <w:szCs w:val="24"/>
        </w:rPr>
        <w:t>主要成效。</w:t>
      </w:r>
    </w:p>
    <w:p w14:paraId="5B0F23B2">
      <w:pPr>
        <w:pStyle w:val="19"/>
        <w:numPr>
          <w:ilvl w:val="0"/>
          <w:numId w:val="1"/>
        </w:numPr>
        <w:spacing w:after="60" w:line="340" w:lineRule="auto"/>
      </w:pPr>
      <w:r>
        <w:rPr>
          <w:rFonts w:ascii="宋体" w:hAnsi="宋体" w:eastAsia="宋体" w:cs="宋体"/>
          <w:sz w:val="24"/>
          <w:szCs w:val="24"/>
        </w:rPr>
        <w:t>实现了对古水利系统运行状态的实时监测</w:t>
      </w:r>
    </w:p>
    <w:p w14:paraId="387B1541">
      <w:pPr>
        <w:pStyle w:val="19"/>
        <w:numPr>
          <w:ilvl w:val="0"/>
          <w:numId w:val="1"/>
        </w:numPr>
        <w:spacing w:after="60" w:line="340" w:lineRule="auto"/>
      </w:pPr>
      <w:r>
        <w:rPr>
          <w:rFonts w:ascii="宋体" w:hAnsi="宋体" w:eastAsia="宋体" w:cs="宋体"/>
          <w:sz w:val="24"/>
          <w:szCs w:val="24"/>
        </w:rPr>
        <w:t>在2025年汛期成功预警一次水位超限，避免了可能的损坏</w:t>
      </w:r>
    </w:p>
    <w:p w14:paraId="7ADE9747">
      <w:pPr>
        <w:pStyle w:val="19"/>
        <w:numPr>
          <w:ilvl w:val="0"/>
          <w:numId w:val="1"/>
        </w:numPr>
        <w:spacing w:after="60" w:line="340" w:lineRule="auto"/>
      </w:pPr>
      <w:r>
        <w:rPr>
          <w:rFonts w:ascii="宋体" w:hAnsi="宋体" w:eastAsia="宋体" w:cs="宋体"/>
          <w:sz w:val="24"/>
          <w:szCs w:val="24"/>
        </w:rPr>
        <w:t>为古水利系统的科学维护提供了数据支撑</w:t>
      </w:r>
    </w:p>
    <w:p w14:paraId="6D80BD12">
      <w:pPr>
        <w:pStyle w:val="3"/>
        <w:spacing w:before="300" w:after="200"/>
      </w:pPr>
      <w:bookmarkStart w:id="374" w:name="_Toc18501"/>
      <w:r>
        <w:rPr>
          <w:rFonts w:ascii="黑体" w:hAnsi="黑体" w:eastAsia="黑体" w:cs="黑体"/>
          <w:b/>
          <w:bCs/>
          <w:color w:val="000000"/>
          <w:sz w:val="28"/>
          <w:szCs w:val="28"/>
        </w:rPr>
        <w:t>C.6 地戏动作捕捉与数字传承</w:t>
      </w:r>
      <w:bookmarkEnd w:id="374"/>
    </w:p>
    <w:p w14:paraId="497188D8">
      <w:pPr>
        <w:spacing w:after="120" w:line="360" w:lineRule="auto"/>
        <w:jc w:val="both"/>
      </w:pPr>
      <w:r>
        <w:rPr>
          <w:rFonts w:ascii="宋体" w:hAnsi="宋体" w:eastAsia="宋体" w:cs="宋体"/>
          <w:b/>
          <w:bCs/>
          <w:sz w:val="24"/>
          <w:szCs w:val="24"/>
        </w:rPr>
        <w:t>项目概况。</w:t>
      </w:r>
      <w:r>
        <w:rPr>
          <w:rFonts w:ascii="宋体" w:hAnsi="宋体" w:eastAsia="宋体" w:cs="宋体"/>
          <w:sz w:val="24"/>
          <w:szCs w:val="24"/>
        </w:rPr>
        <w:t xml:space="preserve"> 贵州大学与安顺市非遗中心合作，对地戏传承人的表演进行动作捕捉记录。</w:t>
      </w:r>
    </w:p>
    <w:p w14:paraId="1ACF2455">
      <w:pPr>
        <w:spacing w:after="120" w:line="360" w:lineRule="auto"/>
        <w:jc w:val="both"/>
      </w:pPr>
      <w:r>
        <w:rPr>
          <w:rFonts w:ascii="宋体" w:hAnsi="宋体" w:eastAsia="宋体" w:cs="宋体"/>
          <w:b/>
          <w:bCs/>
          <w:sz w:val="24"/>
          <w:szCs w:val="24"/>
        </w:rPr>
        <w:t>技术方案。</w:t>
      </w:r>
    </w:p>
    <w:p w14:paraId="1285E0BB">
      <w:pPr>
        <w:pStyle w:val="19"/>
        <w:numPr>
          <w:ilvl w:val="0"/>
          <w:numId w:val="1"/>
        </w:numPr>
        <w:spacing w:after="60" w:line="340" w:lineRule="auto"/>
      </w:pPr>
      <w:r>
        <w:rPr>
          <w:rFonts w:ascii="宋体" w:hAnsi="宋体" w:eastAsia="宋体" w:cs="宋体"/>
          <w:sz w:val="24"/>
          <w:szCs w:val="24"/>
        </w:rPr>
        <w:t>使用惯性动作捕捉设备（Xsens MVN），在村寨演武场采集地戏表演动作数据</w:t>
      </w:r>
    </w:p>
    <w:p w14:paraId="111BECFF">
      <w:pPr>
        <w:pStyle w:val="19"/>
        <w:numPr>
          <w:ilvl w:val="0"/>
          <w:numId w:val="1"/>
        </w:numPr>
        <w:spacing w:after="60" w:line="340" w:lineRule="auto"/>
      </w:pPr>
      <w:r>
        <w:rPr>
          <w:rFonts w:ascii="宋体" w:hAnsi="宋体" w:eastAsia="宋体" w:cs="宋体"/>
          <w:sz w:val="24"/>
          <w:szCs w:val="24"/>
        </w:rPr>
        <w:t>同步录制多机位高清视频和高质量音频</w:t>
      </w:r>
    </w:p>
    <w:p w14:paraId="1CECD0FE">
      <w:pPr>
        <w:pStyle w:val="19"/>
        <w:numPr>
          <w:ilvl w:val="0"/>
          <w:numId w:val="1"/>
        </w:numPr>
        <w:spacing w:after="60" w:line="340" w:lineRule="auto"/>
      </w:pPr>
      <w:r>
        <w:rPr>
          <w:rFonts w:ascii="宋体" w:hAnsi="宋体" w:eastAsia="宋体" w:cs="宋体"/>
          <w:sz w:val="24"/>
          <w:szCs w:val="24"/>
        </w:rPr>
        <w:t>建立地戏动作数据库，包含关羽、张飞、薛仁贵等主要角色的典型动作</w:t>
      </w:r>
    </w:p>
    <w:p w14:paraId="09ED3F37">
      <w:pPr>
        <w:spacing w:after="120" w:line="360" w:lineRule="auto"/>
        <w:jc w:val="both"/>
      </w:pPr>
      <w:r>
        <w:rPr>
          <w:rFonts w:ascii="宋体" w:hAnsi="宋体" w:eastAsia="宋体" w:cs="宋体"/>
          <w:b/>
          <w:bCs/>
          <w:sz w:val="24"/>
          <w:szCs w:val="24"/>
        </w:rPr>
        <w:t>主要成果。</w:t>
      </w:r>
    </w:p>
    <w:p w14:paraId="2D3A7282">
      <w:pPr>
        <w:pStyle w:val="19"/>
        <w:numPr>
          <w:ilvl w:val="0"/>
          <w:numId w:val="1"/>
        </w:numPr>
        <w:spacing w:after="60" w:line="340" w:lineRule="auto"/>
      </w:pPr>
      <w:r>
        <w:rPr>
          <w:rFonts w:ascii="宋体" w:hAnsi="宋体" w:eastAsia="宋体" w:cs="宋体"/>
          <w:sz w:val="24"/>
          <w:szCs w:val="24"/>
        </w:rPr>
        <w:t>记录了3位国家级和省级传承人的完整表演</w:t>
      </w:r>
    </w:p>
    <w:p w14:paraId="4ACF4DF8">
      <w:pPr>
        <w:pStyle w:val="19"/>
        <w:numPr>
          <w:ilvl w:val="0"/>
          <w:numId w:val="1"/>
        </w:numPr>
        <w:spacing w:after="60" w:line="340" w:lineRule="auto"/>
      </w:pPr>
      <w:r>
        <w:rPr>
          <w:rFonts w:ascii="宋体" w:hAnsi="宋体" w:eastAsia="宋体" w:cs="宋体"/>
          <w:sz w:val="24"/>
          <w:szCs w:val="24"/>
        </w:rPr>
        <w:t>建立了包含200余个动作片段的地戏动作数据库</w:t>
      </w:r>
    </w:p>
    <w:p w14:paraId="4A943976">
      <w:pPr>
        <w:pStyle w:val="19"/>
        <w:numPr>
          <w:ilvl w:val="0"/>
          <w:numId w:val="1"/>
        </w:numPr>
        <w:spacing w:after="60" w:line="340" w:lineRule="auto"/>
      </w:pPr>
      <w:r>
        <w:rPr>
          <w:rFonts w:ascii="宋体" w:hAnsi="宋体" w:eastAsia="宋体" w:cs="宋体"/>
          <w:sz w:val="24"/>
          <w:szCs w:val="24"/>
        </w:rPr>
        <w:t>制作了地戏教学动画，用于传承人培训</w:t>
      </w:r>
    </w:p>
    <w:p w14:paraId="18C08F11">
      <w:pPr>
        <w:pStyle w:val="19"/>
        <w:numPr>
          <w:ilvl w:val="0"/>
          <w:numId w:val="1"/>
        </w:numPr>
        <w:spacing w:after="60" w:line="340" w:lineRule="auto"/>
      </w:pPr>
      <w:r>
        <w:rPr>
          <w:rFonts w:ascii="宋体" w:hAnsi="宋体" w:eastAsia="宋体" w:cs="宋体"/>
          <w:sz w:val="24"/>
          <w:szCs w:val="24"/>
        </w:rPr>
        <w:t>为VR地戏体验提供了真实的动作数据</w:t>
      </w:r>
    </w:p>
    <w:p w14:paraId="5B5BAA21">
      <w:pPr>
        <w:pStyle w:val="3"/>
        <w:spacing w:before="300" w:after="200"/>
      </w:pPr>
      <w:bookmarkStart w:id="375" w:name="_Toc5707"/>
      <w:r>
        <w:rPr>
          <w:rFonts w:ascii="黑体" w:hAnsi="黑体" w:eastAsia="黑体" w:cs="黑体"/>
          <w:b/>
          <w:bCs/>
          <w:color w:val="000000"/>
          <w:sz w:val="28"/>
          <w:szCs w:val="28"/>
        </w:rPr>
        <w:t>C.7 5G+屯堡文旅应用</w:t>
      </w:r>
      <w:bookmarkEnd w:id="375"/>
    </w:p>
    <w:p w14:paraId="4CDAE866">
      <w:pPr>
        <w:spacing w:after="120" w:line="360" w:lineRule="auto"/>
        <w:jc w:val="both"/>
      </w:pPr>
      <w:r>
        <w:rPr>
          <w:rFonts w:ascii="宋体" w:hAnsi="宋体" w:eastAsia="宋体" w:cs="宋体"/>
          <w:b/>
          <w:bCs/>
          <w:sz w:val="24"/>
          <w:szCs w:val="24"/>
        </w:rPr>
        <w:t>项目概况。</w:t>
      </w:r>
      <w:r>
        <w:rPr>
          <w:rFonts w:ascii="宋体" w:hAnsi="宋体" w:eastAsia="宋体" w:cs="宋体"/>
          <w:sz w:val="24"/>
          <w:szCs w:val="24"/>
        </w:rPr>
        <w:t xml:space="preserve"> 中国移动贵州公司在屯堡区域部署5G网络，支持数字文旅应用。</w:t>
      </w:r>
    </w:p>
    <w:p w14:paraId="5BFF2578">
      <w:pPr>
        <w:spacing w:after="120" w:line="360" w:lineRule="auto"/>
        <w:jc w:val="both"/>
      </w:pPr>
      <w:r>
        <w:rPr>
          <w:rFonts w:ascii="宋体" w:hAnsi="宋体" w:eastAsia="宋体" w:cs="宋体"/>
          <w:b/>
          <w:bCs/>
          <w:sz w:val="24"/>
          <w:szCs w:val="24"/>
        </w:rPr>
        <w:t>应用场景。</w:t>
      </w:r>
    </w:p>
    <w:p w14:paraId="1E669293">
      <w:pPr>
        <w:pStyle w:val="19"/>
        <w:numPr>
          <w:ilvl w:val="0"/>
          <w:numId w:val="1"/>
        </w:numPr>
        <w:spacing w:after="60" w:line="340" w:lineRule="auto"/>
      </w:pPr>
      <w:r>
        <w:rPr>
          <w:rFonts w:ascii="宋体" w:hAnsi="宋体" w:eastAsia="宋体" w:cs="宋体"/>
          <w:sz w:val="24"/>
          <w:szCs w:val="24"/>
        </w:rPr>
        <w:t>5G+VR直播：地戏表演的实时VR直播，远程观众可通过VR头显获得沉浸式观看体验</w:t>
      </w:r>
    </w:p>
    <w:p w14:paraId="6346F411">
      <w:pPr>
        <w:pStyle w:val="19"/>
        <w:numPr>
          <w:ilvl w:val="0"/>
          <w:numId w:val="1"/>
        </w:numPr>
        <w:spacing w:after="60" w:line="340" w:lineRule="auto"/>
      </w:pPr>
      <w:r>
        <w:rPr>
          <w:rFonts w:ascii="宋体" w:hAnsi="宋体" w:eastAsia="宋体" w:cs="宋体"/>
          <w:sz w:val="24"/>
          <w:szCs w:val="24"/>
        </w:rPr>
        <w:t>5G+AR导览：大带宽、低时延的AR导览体验</w:t>
      </w:r>
    </w:p>
    <w:p w14:paraId="29879C0A">
      <w:pPr>
        <w:pStyle w:val="19"/>
        <w:numPr>
          <w:ilvl w:val="0"/>
          <w:numId w:val="1"/>
        </w:numPr>
        <w:spacing w:after="60" w:line="340" w:lineRule="auto"/>
      </w:pPr>
      <w:r>
        <w:rPr>
          <w:rFonts w:ascii="宋体" w:hAnsi="宋体" w:eastAsia="宋体" w:cs="宋体"/>
          <w:sz w:val="24"/>
          <w:szCs w:val="24"/>
        </w:rPr>
        <w:t>5G+无人机航拍：实时高清航拍画面的传输和直播</w:t>
      </w:r>
    </w:p>
    <w:p w14:paraId="4B1C093C">
      <w:pPr>
        <w:pStyle w:val="19"/>
        <w:numPr>
          <w:ilvl w:val="0"/>
          <w:numId w:val="1"/>
        </w:numPr>
        <w:spacing w:after="60" w:line="340" w:lineRule="auto"/>
      </w:pPr>
      <w:r>
        <w:rPr>
          <w:rFonts w:ascii="宋体" w:hAnsi="宋体" w:eastAsia="宋体" w:cs="宋体"/>
          <w:sz w:val="24"/>
          <w:szCs w:val="24"/>
        </w:rPr>
        <w:t>智能机器狗巡检：在屯堡区域使用智能机器狗进行安防巡逻（试点）</w:t>
      </w:r>
    </w:p>
    <w:p w14:paraId="134F691D">
      <w:pPr>
        <w:pStyle w:val="3"/>
        <w:spacing w:before="300" w:after="200"/>
      </w:pPr>
      <w:bookmarkStart w:id="376" w:name="_Toc23640"/>
      <w:r>
        <w:rPr>
          <w:rFonts w:ascii="黑体" w:hAnsi="黑体" w:eastAsia="黑体" w:cs="黑体"/>
          <w:b/>
          <w:bCs/>
          <w:color w:val="000000"/>
          <w:sz w:val="28"/>
          <w:szCs w:val="28"/>
        </w:rPr>
        <w:t>C.8 案例启示总结</w:t>
      </w:r>
      <w:bookmarkEnd w:id="376"/>
    </w:p>
    <w:p w14:paraId="17A1004B">
      <w:pPr>
        <w:spacing w:after="120" w:line="360" w:lineRule="auto"/>
        <w:jc w:val="both"/>
      </w:pPr>
      <w:r>
        <w:rPr>
          <w:rFonts w:ascii="宋体" w:hAnsi="宋体" w:eastAsia="宋体" w:cs="宋体"/>
          <w:sz w:val="24"/>
          <w:szCs w:val="24"/>
        </w:rPr>
        <w:t>上述案例展示了屯堡文化数字化的多元路径。核心启示包括：</w:t>
      </w:r>
    </w:p>
    <w:p w14:paraId="653C4322">
      <w:pPr>
        <w:pStyle w:val="19"/>
        <w:numPr>
          <w:ilvl w:val="0"/>
          <w:numId w:val="2"/>
        </w:numPr>
        <w:spacing w:after="60" w:line="340" w:lineRule="auto"/>
      </w:pPr>
      <w:r>
        <w:rPr>
          <w:rFonts w:ascii="宋体" w:hAnsi="宋体" w:eastAsia="宋体" w:cs="宋体"/>
          <w:b/>
          <w:bCs/>
          <w:sz w:val="24"/>
          <w:szCs w:val="24"/>
        </w:rPr>
        <w:t>技术选型应因地制宜。</w:t>
      </w:r>
      <w:r>
        <w:rPr>
          <w:rFonts w:ascii="宋体" w:hAnsi="宋体" w:eastAsia="宋体" w:cs="宋体"/>
          <w:sz w:val="24"/>
          <w:szCs w:val="24"/>
        </w:rPr>
        <w:t xml:space="preserve"> 不同村寨、不同文化要素适合不同的数字化技术，不应一刀切。</w:t>
      </w:r>
    </w:p>
    <w:p w14:paraId="0DEB526C">
      <w:pPr>
        <w:pStyle w:val="19"/>
        <w:numPr>
          <w:ilvl w:val="0"/>
          <w:numId w:val="2"/>
        </w:numPr>
        <w:spacing w:after="60" w:line="340" w:lineRule="auto"/>
      </w:pPr>
      <w:r>
        <w:rPr>
          <w:rFonts w:ascii="宋体" w:hAnsi="宋体" w:eastAsia="宋体" w:cs="宋体"/>
          <w:b/>
          <w:bCs/>
          <w:sz w:val="24"/>
          <w:szCs w:val="24"/>
        </w:rPr>
        <w:t>数字化不是目的而是手段。</w:t>
      </w:r>
      <w:r>
        <w:rPr>
          <w:rFonts w:ascii="宋体" w:hAnsi="宋体" w:eastAsia="宋体" w:cs="宋体"/>
          <w:sz w:val="24"/>
          <w:szCs w:val="24"/>
        </w:rPr>
        <w:t xml:space="preserve"> 数字化的终极目标是服务文化保护和传承，而非炫技。</w:t>
      </w:r>
    </w:p>
    <w:p w14:paraId="1CFB913F">
      <w:pPr>
        <w:pStyle w:val="19"/>
        <w:numPr>
          <w:ilvl w:val="0"/>
          <w:numId w:val="2"/>
        </w:numPr>
        <w:spacing w:after="60" w:line="340" w:lineRule="auto"/>
      </w:pPr>
      <w:r>
        <w:rPr>
          <w:rFonts w:ascii="宋体" w:hAnsi="宋体" w:eastAsia="宋体" w:cs="宋体"/>
          <w:b/>
          <w:bCs/>
          <w:sz w:val="24"/>
          <w:szCs w:val="24"/>
        </w:rPr>
        <w:t>社区参与不可或缺。</w:t>
      </w:r>
      <w:r>
        <w:rPr>
          <w:rFonts w:ascii="宋体" w:hAnsi="宋体" w:eastAsia="宋体" w:cs="宋体"/>
          <w:sz w:val="24"/>
          <w:szCs w:val="24"/>
        </w:rPr>
        <w:t xml:space="preserve"> 口述史采集、动作捕捉等都离不开社区和传承人的配合。</w:t>
      </w:r>
    </w:p>
    <w:p w14:paraId="5DCF0E7A">
      <w:pPr>
        <w:pStyle w:val="19"/>
        <w:numPr>
          <w:ilvl w:val="0"/>
          <w:numId w:val="2"/>
        </w:numPr>
        <w:spacing w:after="60" w:line="340" w:lineRule="auto"/>
      </w:pPr>
      <w:r>
        <w:rPr>
          <w:rFonts w:ascii="宋体" w:hAnsi="宋体" w:eastAsia="宋体" w:cs="宋体"/>
          <w:b/>
          <w:bCs/>
          <w:sz w:val="24"/>
          <w:szCs w:val="24"/>
        </w:rPr>
        <w:t>产学研合作是有效模式。</w:t>
      </w:r>
      <w:r>
        <w:rPr>
          <w:rFonts w:ascii="宋体" w:hAnsi="宋体" w:eastAsia="宋体" w:cs="宋体"/>
          <w:sz w:val="24"/>
          <w:szCs w:val="24"/>
        </w:rPr>
        <w:t xml:space="preserve"> 高校提供技术和人才，地方提供资源和场景，合作共赢。</w:t>
      </w:r>
    </w:p>
    <w:p w14:paraId="7C1AB7A1">
      <w:pPr>
        <w:pStyle w:val="19"/>
        <w:numPr>
          <w:ilvl w:val="0"/>
          <w:numId w:val="2"/>
        </w:numPr>
        <w:spacing w:after="60" w:line="340" w:lineRule="auto"/>
      </w:pPr>
      <w:r>
        <w:rPr>
          <w:rFonts w:ascii="宋体" w:hAnsi="宋体" w:eastAsia="宋体" w:cs="宋体"/>
          <w:b/>
          <w:bCs/>
          <w:sz w:val="24"/>
          <w:szCs w:val="24"/>
        </w:rPr>
        <w:t>可持续运营是关键挑战。</w:t>
      </w:r>
      <w:r>
        <w:rPr>
          <w:rFonts w:ascii="宋体" w:hAnsi="宋体" w:eastAsia="宋体" w:cs="宋体"/>
          <w:sz w:val="24"/>
          <w:szCs w:val="24"/>
        </w:rPr>
        <w:t xml:space="preserve"> 数字化项目的长期运维需要稳定的资金和人才保障，不能"建完就完"。</w:t>
      </w:r>
    </w:p>
    <w:p w14:paraId="68DC931A">
      <w:r>
        <w:br w:type="page"/>
      </w:r>
    </w:p>
    <w:p w14:paraId="57450672">
      <w:pPr>
        <w:pStyle w:val="2"/>
        <w:spacing w:before="400" w:after="200"/>
      </w:pPr>
      <w:bookmarkStart w:id="377" w:name="_Toc11779"/>
      <w:r>
        <w:rPr>
          <w:rFonts w:ascii="黑体" w:hAnsi="黑体" w:eastAsia="黑体" w:cs="黑体"/>
          <w:b/>
          <w:bCs/>
          <w:color w:val="1F4E79"/>
          <w:sz w:val="32"/>
          <w:szCs w:val="32"/>
        </w:rPr>
        <w:t>附录D 文化遗产数字化工具与技术平台</w:t>
      </w:r>
      <w:bookmarkEnd w:id="377"/>
    </w:p>
    <w:p w14:paraId="1E0C0F0F">
      <w:pPr>
        <w:pStyle w:val="3"/>
        <w:spacing w:before="300" w:after="200"/>
      </w:pPr>
      <w:bookmarkStart w:id="378" w:name="_Toc28925"/>
      <w:r>
        <w:rPr>
          <w:rFonts w:ascii="黑体" w:hAnsi="黑体" w:eastAsia="黑体" w:cs="黑体"/>
          <w:b/>
          <w:bCs/>
          <w:color w:val="000000"/>
          <w:sz w:val="28"/>
          <w:szCs w:val="28"/>
        </w:rPr>
        <w:t>D.1 三维数据采集工具</w:t>
      </w:r>
      <w:bookmarkEnd w:id="378"/>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504"/>
        <w:gridCol w:w="1504"/>
        <w:gridCol w:w="1504"/>
        <w:gridCol w:w="1504"/>
        <w:gridCol w:w="1505"/>
        <w:gridCol w:w="1505"/>
      </w:tblGrid>
      <w:tr w14:paraId="3E81D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504"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594B7C4">
            <w:pPr>
              <w:spacing w:after="0"/>
            </w:pPr>
            <w:r>
              <w:rPr>
                <w:rFonts w:ascii="宋体" w:hAnsi="宋体" w:eastAsia="宋体" w:cs="宋体"/>
                <w:b/>
                <w:bCs/>
                <w:color w:val="FFFFFF"/>
                <w:sz w:val="20"/>
                <w:szCs w:val="20"/>
              </w:rPr>
              <w:t>工具名称</w:t>
            </w:r>
          </w:p>
        </w:tc>
        <w:tc>
          <w:tcPr>
            <w:tcW w:w="1504"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B1E0E75">
            <w:pPr>
              <w:spacing w:after="0"/>
            </w:pPr>
            <w:r>
              <w:rPr>
                <w:rFonts w:ascii="宋体" w:hAnsi="宋体" w:eastAsia="宋体" w:cs="宋体"/>
                <w:b/>
                <w:bCs/>
                <w:color w:val="FFFFFF"/>
                <w:sz w:val="20"/>
                <w:szCs w:val="20"/>
              </w:rPr>
              <w:t>类型</w:t>
            </w:r>
          </w:p>
        </w:tc>
        <w:tc>
          <w:tcPr>
            <w:tcW w:w="1504"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84913D7">
            <w:pPr>
              <w:spacing w:after="0"/>
            </w:pPr>
            <w:r>
              <w:rPr>
                <w:rFonts w:ascii="宋体" w:hAnsi="宋体" w:eastAsia="宋体" w:cs="宋体"/>
                <w:b/>
                <w:bCs/>
                <w:color w:val="FFFFFF"/>
                <w:sz w:val="20"/>
                <w:szCs w:val="20"/>
              </w:rPr>
              <w:t>厂商</w:t>
            </w:r>
          </w:p>
        </w:tc>
        <w:tc>
          <w:tcPr>
            <w:tcW w:w="1504"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5CE7956">
            <w:pPr>
              <w:spacing w:after="0"/>
            </w:pPr>
            <w:r>
              <w:rPr>
                <w:rFonts w:ascii="宋体" w:hAnsi="宋体" w:eastAsia="宋体" w:cs="宋体"/>
                <w:b/>
                <w:bCs/>
                <w:color w:val="FFFFFF"/>
                <w:sz w:val="20"/>
                <w:szCs w:val="20"/>
              </w:rPr>
              <w:t>适用场景</w:t>
            </w:r>
          </w:p>
        </w:tc>
        <w:tc>
          <w:tcPr>
            <w:tcW w:w="1504"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2BA5516">
            <w:pPr>
              <w:spacing w:after="0"/>
            </w:pPr>
            <w:r>
              <w:rPr>
                <w:rFonts w:ascii="宋体" w:hAnsi="宋体" w:eastAsia="宋体" w:cs="宋体"/>
                <w:b/>
                <w:bCs/>
                <w:color w:val="FFFFFF"/>
                <w:sz w:val="20"/>
                <w:szCs w:val="20"/>
              </w:rPr>
              <w:t>精度</w:t>
            </w:r>
          </w:p>
        </w:tc>
        <w:tc>
          <w:tcPr>
            <w:tcW w:w="1504"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6944CA4">
            <w:pPr>
              <w:spacing w:after="0"/>
            </w:pPr>
            <w:r>
              <w:rPr>
                <w:rFonts w:ascii="宋体" w:hAnsi="宋体" w:eastAsia="宋体" w:cs="宋体"/>
                <w:b/>
                <w:bCs/>
                <w:color w:val="FFFFFF"/>
                <w:sz w:val="20"/>
                <w:szCs w:val="20"/>
              </w:rPr>
              <w:t>参考价格</w:t>
            </w:r>
          </w:p>
        </w:tc>
      </w:tr>
      <w:tr w14:paraId="02DA6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86DD7E">
            <w:pPr>
              <w:spacing w:after="0"/>
            </w:pPr>
            <w:r>
              <w:rPr>
                <w:rFonts w:ascii="宋体" w:hAnsi="宋体" w:eastAsia="宋体" w:cs="宋体"/>
                <w:sz w:val="20"/>
                <w:szCs w:val="20"/>
              </w:rPr>
              <w:t>FARO Focus S350</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9C8707">
            <w:pPr>
              <w:spacing w:after="0"/>
            </w:pPr>
            <w:r>
              <w:rPr>
                <w:rFonts w:ascii="宋体" w:hAnsi="宋体" w:eastAsia="宋体" w:cs="宋体"/>
                <w:sz w:val="20"/>
                <w:szCs w:val="20"/>
              </w:rPr>
              <w:t>地面激光扫描仪</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E405CE">
            <w:pPr>
              <w:spacing w:after="0"/>
            </w:pPr>
            <w:r>
              <w:rPr>
                <w:rFonts w:ascii="宋体" w:hAnsi="宋体" w:eastAsia="宋体" w:cs="宋体"/>
                <w:sz w:val="20"/>
                <w:szCs w:val="20"/>
              </w:rPr>
              <w:t>FARO（美国）</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D5BC50">
            <w:pPr>
              <w:spacing w:after="0"/>
            </w:pPr>
            <w:r>
              <w:rPr>
                <w:rFonts w:ascii="宋体" w:hAnsi="宋体" w:eastAsia="宋体" w:cs="宋体"/>
                <w:sz w:val="20"/>
                <w:szCs w:val="20"/>
              </w:rPr>
              <w:t>建筑、遗址、大型场景</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E6F2E4">
            <w:pPr>
              <w:spacing w:after="0"/>
            </w:pPr>
            <w:r>
              <w:rPr>
                <w:rFonts w:ascii="宋体" w:hAnsi="宋体" w:eastAsia="宋体" w:cs="宋体"/>
                <w:sz w:val="20"/>
                <w:szCs w:val="20"/>
              </w:rPr>
              <w:t>1mm@10m</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58E42A">
            <w:pPr>
              <w:spacing w:after="0"/>
            </w:pPr>
            <w:r>
              <w:rPr>
                <w:rFonts w:ascii="宋体" w:hAnsi="宋体" w:eastAsia="宋体" w:cs="宋体"/>
                <w:sz w:val="20"/>
                <w:szCs w:val="20"/>
              </w:rPr>
              <w:t>¥50-80万</w:t>
            </w:r>
          </w:p>
        </w:tc>
      </w:tr>
      <w:tr w14:paraId="3D893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D950E1">
            <w:pPr>
              <w:spacing w:after="0"/>
            </w:pPr>
            <w:r>
              <w:rPr>
                <w:rFonts w:ascii="宋体" w:hAnsi="宋体" w:eastAsia="宋体" w:cs="宋体"/>
                <w:sz w:val="20"/>
                <w:szCs w:val="20"/>
              </w:rPr>
              <w:t>Leica RTC360</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174A5A">
            <w:pPr>
              <w:spacing w:after="0"/>
            </w:pPr>
            <w:r>
              <w:rPr>
                <w:rFonts w:ascii="宋体" w:hAnsi="宋体" w:eastAsia="宋体" w:cs="宋体"/>
                <w:sz w:val="20"/>
                <w:szCs w:val="20"/>
              </w:rPr>
              <w:t>地面激光扫描仪</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C7D8B3">
            <w:pPr>
              <w:spacing w:after="0"/>
            </w:pPr>
            <w:r>
              <w:rPr>
                <w:rFonts w:ascii="宋体" w:hAnsi="宋体" w:eastAsia="宋体" w:cs="宋体"/>
                <w:sz w:val="20"/>
                <w:szCs w:val="20"/>
              </w:rPr>
              <w:t>Leica（瑞士）</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F5EA65">
            <w:pPr>
              <w:spacing w:after="0"/>
            </w:pPr>
            <w:r>
              <w:rPr>
                <w:rFonts w:ascii="宋体" w:hAnsi="宋体" w:eastAsia="宋体" w:cs="宋体"/>
                <w:sz w:val="20"/>
                <w:szCs w:val="20"/>
              </w:rPr>
              <w:t>建筑、遗址</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863F11">
            <w:pPr>
              <w:spacing w:after="0"/>
            </w:pPr>
            <w:r>
              <w:rPr>
                <w:rFonts w:ascii="宋体" w:hAnsi="宋体" w:eastAsia="宋体" w:cs="宋体"/>
                <w:sz w:val="20"/>
                <w:szCs w:val="20"/>
              </w:rPr>
              <w:t>2mm@10m</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EF9F600">
            <w:pPr>
              <w:spacing w:after="0"/>
            </w:pPr>
            <w:r>
              <w:rPr>
                <w:rFonts w:ascii="宋体" w:hAnsi="宋体" w:eastAsia="宋体" w:cs="宋体"/>
                <w:sz w:val="20"/>
                <w:szCs w:val="20"/>
              </w:rPr>
              <w:t>¥60-90万</w:t>
            </w:r>
          </w:p>
        </w:tc>
      </w:tr>
      <w:tr w14:paraId="46FDD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84D6D0">
            <w:pPr>
              <w:spacing w:after="0"/>
            </w:pPr>
            <w:r>
              <w:rPr>
                <w:rFonts w:ascii="宋体" w:hAnsi="宋体" w:eastAsia="宋体" w:cs="宋体"/>
                <w:sz w:val="20"/>
                <w:szCs w:val="20"/>
              </w:rPr>
              <w:t>Artec Leo</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69387E">
            <w:pPr>
              <w:spacing w:after="0"/>
            </w:pPr>
            <w:r>
              <w:rPr>
                <w:rFonts w:ascii="宋体" w:hAnsi="宋体" w:eastAsia="宋体" w:cs="宋体"/>
                <w:sz w:val="20"/>
                <w:szCs w:val="20"/>
              </w:rPr>
              <w:t>手持激光扫描仪</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E28E6F">
            <w:pPr>
              <w:spacing w:after="0"/>
            </w:pPr>
            <w:r>
              <w:rPr>
                <w:rFonts w:ascii="宋体" w:hAnsi="宋体" w:eastAsia="宋体" w:cs="宋体"/>
                <w:sz w:val="20"/>
                <w:szCs w:val="20"/>
              </w:rPr>
              <w:t>Artec（卢森堡）</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45A63A">
            <w:pPr>
              <w:spacing w:after="0"/>
            </w:pPr>
            <w:r>
              <w:rPr>
                <w:rFonts w:ascii="宋体" w:hAnsi="宋体" w:eastAsia="宋体" w:cs="宋体"/>
                <w:sz w:val="20"/>
                <w:szCs w:val="20"/>
              </w:rPr>
              <w:t>器物、雕刻、中小型对象</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6EC136">
            <w:pPr>
              <w:spacing w:after="0"/>
            </w:pPr>
            <w:r>
              <w:rPr>
                <w:rFonts w:ascii="宋体" w:hAnsi="宋体" w:eastAsia="宋体" w:cs="宋体"/>
                <w:sz w:val="20"/>
                <w:szCs w:val="20"/>
              </w:rPr>
              <w:t>0.1mm</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8449E9">
            <w:pPr>
              <w:spacing w:after="0"/>
            </w:pPr>
            <w:r>
              <w:rPr>
                <w:rFonts w:ascii="宋体" w:hAnsi="宋体" w:eastAsia="宋体" w:cs="宋体"/>
                <w:sz w:val="20"/>
                <w:szCs w:val="20"/>
              </w:rPr>
              <w:t>¥20-30万</w:t>
            </w:r>
          </w:p>
        </w:tc>
      </w:tr>
      <w:tr w14:paraId="32BD7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F769A5">
            <w:pPr>
              <w:spacing w:after="0"/>
            </w:pPr>
            <w:r>
              <w:rPr>
                <w:rFonts w:ascii="宋体" w:hAnsi="宋体" w:eastAsia="宋体" w:cs="宋体"/>
                <w:sz w:val="20"/>
                <w:szCs w:val="20"/>
              </w:rPr>
              <w:t>EinScan Pro HD</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A52EA8">
            <w:pPr>
              <w:spacing w:after="0"/>
            </w:pPr>
            <w:r>
              <w:rPr>
                <w:rFonts w:ascii="宋体" w:hAnsi="宋体" w:eastAsia="宋体" w:cs="宋体"/>
                <w:sz w:val="20"/>
                <w:szCs w:val="20"/>
              </w:rPr>
              <w:t>手持结构光扫描仪</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F4EB19">
            <w:pPr>
              <w:spacing w:after="0"/>
            </w:pPr>
            <w:r>
              <w:rPr>
                <w:rFonts w:ascii="宋体" w:hAnsi="宋体" w:eastAsia="宋体" w:cs="宋体"/>
                <w:sz w:val="20"/>
                <w:szCs w:val="20"/>
              </w:rPr>
              <w:t>Shining 3D（中国）</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215C03">
            <w:pPr>
              <w:spacing w:after="0"/>
            </w:pPr>
            <w:r>
              <w:rPr>
                <w:rFonts w:ascii="宋体" w:hAnsi="宋体" w:eastAsia="宋体" w:cs="宋体"/>
                <w:sz w:val="20"/>
                <w:szCs w:val="20"/>
              </w:rPr>
              <w:t>器物、雕刻</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7EF9F2">
            <w:pPr>
              <w:spacing w:after="0"/>
            </w:pPr>
            <w:r>
              <w:rPr>
                <w:rFonts w:ascii="宋体" w:hAnsi="宋体" w:eastAsia="宋体" w:cs="宋体"/>
                <w:sz w:val="20"/>
                <w:szCs w:val="20"/>
              </w:rPr>
              <w:t>0.04mm</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4C250A">
            <w:pPr>
              <w:spacing w:after="0"/>
            </w:pPr>
            <w:r>
              <w:rPr>
                <w:rFonts w:ascii="宋体" w:hAnsi="宋体" w:eastAsia="宋体" w:cs="宋体"/>
                <w:sz w:val="20"/>
                <w:szCs w:val="20"/>
              </w:rPr>
              <w:t>¥5-8万</w:t>
            </w:r>
          </w:p>
        </w:tc>
      </w:tr>
      <w:tr w14:paraId="6A0C2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DA76C0">
            <w:pPr>
              <w:spacing w:after="0"/>
            </w:pPr>
            <w:r>
              <w:rPr>
                <w:rFonts w:ascii="宋体" w:hAnsi="宋体" w:eastAsia="宋体" w:cs="宋体"/>
                <w:sz w:val="20"/>
                <w:szCs w:val="20"/>
              </w:rPr>
              <w:t>DJI M300 RTK</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6B5D65">
            <w:pPr>
              <w:spacing w:after="0"/>
            </w:pPr>
            <w:r>
              <w:rPr>
                <w:rFonts w:ascii="宋体" w:hAnsi="宋体" w:eastAsia="宋体" w:cs="宋体"/>
                <w:sz w:val="20"/>
                <w:szCs w:val="20"/>
              </w:rPr>
              <w:t>无人机平台</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E2A08E">
            <w:pPr>
              <w:spacing w:after="0"/>
            </w:pPr>
            <w:r>
              <w:rPr>
                <w:rFonts w:ascii="宋体" w:hAnsi="宋体" w:eastAsia="宋体" w:cs="宋体"/>
                <w:sz w:val="20"/>
                <w:szCs w:val="20"/>
              </w:rPr>
              <w:t>DJI（中国）</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DC8AE5">
            <w:pPr>
              <w:spacing w:after="0"/>
            </w:pPr>
            <w:r>
              <w:rPr>
                <w:rFonts w:ascii="宋体" w:hAnsi="宋体" w:eastAsia="宋体" w:cs="宋体"/>
                <w:sz w:val="20"/>
                <w:szCs w:val="20"/>
              </w:rPr>
              <w:t>航拍、倾斜摄影</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BA4313">
            <w:pPr>
              <w:spacing w:after="0"/>
            </w:pPr>
            <w:r>
              <w:rPr>
                <w:rFonts w:ascii="宋体" w:hAnsi="宋体" w:eastAsia="宋体" w:cs="宋体"/>
                <w:sz w:val="20"/>
                <w:szCs w:val="20"/>
              </w:rPr>
              <w:t>厘米级</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939628">
            <w:pPr>
              <w:spacing w:after="0"/>
            </w:pPr>
            <w:r>
              <w:rPr>
                <w:rFonts w:ascii="宋体" w:hAnsi="宋体" w:eastAsia="宋体" w:cs="宋体"/>
                <w:sz w:val="20"/>
                <w:szCs w:val="20"/>
              </w:rPr>
              <w:t>¥8-12万</w:t>
            </w:r>
          </w:p>
        </w:tc>
      </w:tr>
      <w:tr w14:paraId="0233C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94FEE5">
            <w:pPr>
              <w:spacing w:after="0"/>
            </w:pPr>
            <w:r>
              <w:rPr>
                <w:rFonts w:ascii="宋体" w:hAnsi="宋体" w:eastAsia="宋体" w:cs="宋体"/>
                <w:sz w:val="20"/>
                <w:szCs w:val="20"/>
              </w:rPr>
              <w:t>DJI Mini 4 Pro</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F9370A1">
            <w:pPr>
              <w:spacing w:after="0"/>
            </w:pPr>
            <w:r>
              <w:rPr>
                <w:rFonts w:ascii="宋体" w:hAnsi="宋体" w:eastAsia="宋体" w:cs="宋体"/>
                <w:sz w:val="20"/>
                <w:szCs w:val="20"/>
              </w:rPr>
              <w:t>消费级无人机</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9C80FD7">
            <w:pPr>
              <w:spacing w:after="0"/>
            </w:pPr>
            <w:r>
              <w:rPr>
                <w:rFonts w:ascii="宋体" w:hAnsi="宋体" w:eastAsia="宋体" w:cs="宋体"/>
                <w:sz w:val="20"/>
                <w:szCs w:val="20"/>
              </w:rPr>
              <w:t>DJI（中国）</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2646E03">
            <w:pPr>
              <w:spacing w:after="0"/>
            </w:pPr>
            <w:r>
              <w:rPr>
                <w:rFonts w:ascii="宋体" w:hAnsi="宋体" w:eastAsia="宋体" w:cs="宋体"/>
                <w:sz w:val="20"/>
                <w:szCs w:val="20"/>
              </w:rPr>
              <w:t>小型建筑航拍</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3BEA881">
            <w:pPr>
              <w:spacing w:after="0"/>
            </w:pPr>
            <w:r>
              <w:rPr>
                <w:rFonts w:ascii="宋体" w:hAnsi="宋体" w:eastAsia="宋体" w:cs="宋体"/>
                <w:sz w:val="20"/>
                <w:szCs w:val="20"/>
              </w:rPr>
              <w:t>米级</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D87F4B">
            <w:pPr>
              <w:spacing w:after="0"/>
            </w:pPr>
            <w:r>
              <w:rPr>
                <w:rFonts w:ascii="宋体" w:hAnsi="宋体" w:eastAsia="宋体" w:cs="宋体"/>
                <w:sz w:val="20"/>
                <w:szCs w:val="20"/>
              </w:rPr>
              <w:t>¥4000-6000</w:t>
            </w:r>
          </w:p>
        </w:tc>
      </w:tr>
    </w:tbl>
    <w:p w14:paraId="714DA1C0">
      <w:pPr>
        <w:pStyle w:val="3"/>
        <w:spacing w:before="300" w:after="200"/>
      </w:pPr>
      <w:bookmarkStart w:id="379" w:name="_Toc21969"/>
      <w:r>
        <w:rPr>
          <w:rFonts w:ascii="黑体" w:hAnsi="黑体" w:eastAsia="黑体" w:cs="黑体"/>
          <w:b/>
          <w:bCs/>
          <w:color w:val="000000"/>
          <w:sz w:val="28"/>
          <w:szCs w:val="28"/>
        </w:rPr>
        <w:t>D.2 摄影与影像工具</w:t>
      </w:r>
      <w:bookmarkEnd w:id="37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12835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4EB001E">
            <w:pPr>
              <w:spacing w:after="0"/>
            </w:pPr>
            <w:r>
              <w:rPr>
                <w:rFonts w:ascii="宋体" w:hAnsi="宋体" w:eastAsia="宋体" w:cs="宋体"/>
                <w:b/>
                <w:bCs/>
                <w:color w:val="FFFFFF"/>
                <w:sz w:val="20"/>
                <w:szCs w:val="20"/>
              </w:rPr>
              <w:t>工具名称</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60D92D3">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1288A6D">
            <w:pPr>
              <w:spacing w:after="0"/>
            </w:pPr>
            <w:r>
              <w:rPr>
                <w:rFonts w:ascii="宋体" w:hAnsi="宋体" w:eastAsia="宋体" w:cs="宋体"/>
                <w:b/>
                <w:bCs/>
                <w:color w:val="FFFFFF"/>
                <w:sz w:val="20"/>
                <w:szCs w:val="20"/>
              </w:rPr>
              <w:t>适用场景</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E6F0023">
            <w:pPr>
              <w:spacing w:after="0"/>
            </w:pPr>
            <w:r>
              <w:rPr>
                <w:rFonts w:ascii="宋体" w:hAnsi="宋体" w:eastAsia="宋体" w:cs="宋体"/>
                <w:b/>
                <w:bCs/>
                <w:color w:val="FFFFFF"/>
                <w:sz w:val="20"/>
                <w:szCs w:val="20"/>
              </w:rPr>
              <w:t>参考价格</w:t>
            </w:r>
          </w:p>
        </w:tc>
      </w:tr>
      <w:tr w14:paraId="2F5C4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65F2A4">
            <w:pPr>
              <w:spacing w:after="0"/>
            </w:pPr>
            <w:r>
              <w:rPr>
                <w:rFonts w:ascii="宋体" w:hAnsi="宋体" w:eastAsia="宋体" w:cs="宋体"/>
                <w:sz w:val="20"/>
                <w:szCs w:val="20"/>
              </w:rPr>
              <w:t>Sony A7R V</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A440E7">
            <w:pPr>
              <w:spacing w:after="0"/>
            </w:pPr>
            <w:r>
              <w:rPr>
                <w:rFonts w:ascii="宋体" w:hAnsi="宋体" w:eastAsia="宋体" w:cs="宋体"/>
                <w:sz w:val="20"/>
                <w:szCs w:val="20"/>
              </w:rPr>
              <w:t>全画幅微单相机</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420BE9">
            <w:pPr>
              <w:spacing w:after="0"/>
            </w:pPr>
            <w:r>
              <w:rPr>
                <w:rFonts w:ascii="宋体" w:hAnsi="宋体" w:eastAsia="宋体" w:cs="宋体"/>
                <w:sz w:val="20"/>
                <w:szCs w:val="20"/>
              </w:rPr>
              <w:t>高清摄影、摄影测量</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718E23">
            <w:pPr>
              <w:spacing w:after="0"/>
            </w:pPr>
            <w:r>
              <w:rPr>
                <w:rFonts w:ascii="宋体" w:hAnsi="宋体" w:eastAsia="宋体" w:cs="宋体"/>
                <w:sz w:val="20"/>
                <w:szCs w:val="20"/>
              </w:rPr>
              <w:t>¥2.5-3万</w:t>
            </w:r>
          </w:p>
        </w:tc>
      </w:tr>
      <w:tr w14:paraId="1740C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754DCD">
            <w:pPr>
              <w:spacing w:after="0"/>
            </w:pPr>
            <w:r>
              <w:rPr>
                <w:rFonts w:ascii="宋体" w:hAnsi="宋体" w:eastAsia="宋体" w:cs="宋体"/>
                <w:sz w:val="20"/>
                <w:szCs w:val="20"/>
              </w:rPr>
              <w:t>Canon EOS R5</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5DF87D">
            <w:pPr>
              <w:spacing w:after="0"/>
            </w:pPr>
            <w:r>
              <w:rPr>
                <w:rFonts w:ascii="宋体" w:hAnsi="宋体" w:eastAsia="宋体" w:cs="宋体"/>
                <w:sz w:val="20"/>
                <w:szCs w:val="20"/>
              </w:rPr>
              <w:t>全画幅微单相机</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659A3C">
            <w:pPr>
              <w:spacing w:after="0"/>
            </w:pPr>
            <w:r>
              <w:rPr>
                <w:rFonts w:ascii="宋体" w:hAnsi="宋体" w:eastAsia="宋体" w:cs="宋体"/>
                <w:sz w:val="20"/>
                <w:szCs w:val="20"/>
              </w:rPr>
              <w:t>高清摄影、摄影测量</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CBF6B1">
            <w:pPr>
              <w:spacing w:after="0"/>
            </w:pPr>
            <w:r>
              <w:rPr>
                <w:rFonts w:ascii="宋体" w:hAnsi="宋体" w:eastAsia="宋体" w:cs="宋体"/>
                <w:sz w:val="20"/>
                <w:szCs w:val="20"/>
              </w:rPr>
              <w:t>¥2.5-3万</w:t>
            </w:r>
          </w:p>
        </w:tc>
      </w:tr>
      <w:tr w14:paraId="27BEC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79C1E0">
            <w:pPr>
              <w:spacing w:after="0"/>
            </w:pPr>
            <w:r>
              <w:rPr>
                <w:rFonts w:ascii="宋体" w:hAnsi="宋体" w:eastAsia="宋体" w:cs="宋体"/>
                <w:sz w:val="20"/>
                <w:szCs w:val="20"/>
              </w:rPr>
              <w:t>Insta360 X4</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FFEC01">
            <w:pPr>
              <w:spacing w:after="0"/>
            </w:pPr>
            <w:r>
              <w:rPr>
                <w:rFonts w:ascii="宋体" w:hAnsi="宋体" w:eastAsia="宋体" w:cs="宋体"/>
                <w:sz w:val="20"/>
                <w:szCs w:val="20"/>
              </w:rPr>
              <w:t>全景相机</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CBA804">
            <w:pPr>
              <w:spacing w:after="0"/>
            </w:pPr>
            <w:r>
              <w:rPr>
                <w:rFonts w:ascii="宋体" w:hAnsi="宋体" w:eastAsia="宋体" w:cs="宋体"/>
                <w:sz w:val="20"/>
                <w:szCs w:val="20"/>
              </w:rPr>
              <w:t>全景照片和视频</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1DD6A0">
            <w:pPr>
              <w:spacing w:after="0"/>
            </w:pPr>
            <w:r>
              <w:rPr>
                <w:rFonts w:ascii="宋体" w:hAnsi="宋体" w:eastAsia="宋体" w:cs="宋体"/>
                <w:sz w:val="20"/>
                <w:szCs w:val="20"/>
              </w:rPr>
              <w:t>¥3000-4000</w:t>
            </w:r>
          </w:p>
        </w:tc>
      </w:tr>
      <w:tr w14:paraId="1495A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23B5D4">
            <w:pPr>
              <w:spacing w:after="0"/>
            </w:pPr>
            <w:r>
              <w:rPr>
                <w:rFonts w:ascii="宋体" w:hAnsi="宋体" w:eastAsia="宋体" w:cs="宋体"/>
                <w:sz w:val="20"/>
                <w:szCs w:val="20"/>
              </w:rPr>
              <w:t>Ricoh Theta Z1</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F089B6">
            <w:pPr>
              <w:spacing w:after="0"/>
            </w:pPr>
            <w:r>
              <w:rPr>
                <w:rFonts w:ascii="宋体" w:hAnsi="宋体" w:eastAsia="宋体" w:cs="宋体"/>
                <w:sz w:val="20"/>
                <w:szCs w:val="20"/>
              </w:rPr>
              <w:t>全景相机</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300A77">
            <w:pPr>
              <w:spacing w:after="0"/>
            </w:pPr>
            <w:r>
              <w:rPr>
                <w:rFonts w:ascii="宋体" w:hAnsi="宋体" w:eastAsia="宋体" w:cs="宋体"/>
                <w:sz w:val="20"/>
                <w:szCs w:val="20"/>
              </w:rPr>
              <w:t>专业级全景照片</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21D9F2">
            <w:pPr>
              <w:spacing w:after="0"/>
            </w:pPr>
            <w:r>
              <w:rPr>
                <w:rFonts w:ascii="宋体" w:hAnsi="宋体" w:eastAsia="宋体" w:cs="宋体"/>
                <w:sz w:val="20"/>
                <w:szCs w:val="20"/>
              </w:rPr>
              <w:t>¥7000-8000</w:t>
            </w:r>
          </w:p>
        </w:tc>
      </w:tr>
    </w:tbl>
    <w:p w14:paraId="1BC1E775">
      <w:pPr>
        <w:pStyle w:val="3"/>
        <w:spacing w:before="300" w:after="200"/>
      </w:pPr>
      <w:bookmarkStart w:id="380" w:name="_Toc23803"/>
      <w:r>
        <w:rPr>
          <w:rFonts w:ascii="黑体" w:hAnsi="黑体" w:eastAsia="黑体" w:cs="黑体"/>
          <w:b/>
          <w:bCs/>
          <w:color w:val="000000"/>
          <w:sz w:val="28"/>
          <w:szCs w:val="28"/>
        </w:rPr>
        <w:t>D.3 点云处理与三维建模软件</w:t>
      </w:r>
      <w:bookmarkEnd w:id="38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5642D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CD7E21F">
            <w:pPr>
              <w:spacing w:after="0"/>
            </w:pPr>
            <w:r>
              <w:rPr>
                <w:rFonts w:ascii="宋体" w:hAnsi="宋体" w:eastAsia="宋体" w:cs="宋体"/>
                <w:b/>
                <w:bCs/>
                <w:color w:val="FFFFFF"/>
                <w:sz w:val="20"/>
                <w:szCs w:val="20"/>
              </w:rPr>
              <w:t>软件名称</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07101D3">
            <w:pPr>
              <w:spacing w:after="0"/>
            </w:pPr>
            <w:r>
              <w:rPr>
                <w:rFonts w:ascii="宋体" w:hAnsi="宋体" w:eastAsia="宋体" w:cs="宋体"/>
                <w:b/>
                <w:bCs/>
                <w:color w:val="FFFFFF"/>
                <w:sz w:val="20"/>
                <w:szCs w:val="20"/>
              </w:rPr>
              <w:t>类型</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AEA4899">
            <w:pPr>
              <w:spacing w:after="0"/>
            </w:pPr>
            <w:r>
              <w:rPr>
                <w:rFonts w:ascii="宋体" w:hAnsi="宋体" w:eastAsia="宋体" w:cs="宋体"/>
                <w:b/>
                <w:bCs/>
                <w:color w:val="FFFFFF"/>
                <w:sz w:val="20"/>
                <w:szCs w:val="20"/>
              </w:rPr>
              <w:t>厂商</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B4451F5">
            <w:pPr>
              <w:spacing w:after="0"/>
            </w:pPr>
            <w:r>
              <w:rPr>
                <w:rFonts w:ascii="宋体" w:hAnsi="宋体" w:eastAsia="宋体" w:cs="宋体"/>
                <w:b/>
                <w:bCs/>
                <w:color w:val="FFFFFF"/>
                <w:sz w:val="20"/>
                <w:szCs w:val="20"/>
              </w:rPr>
              <w:t>主要功能</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515A483">
            <w:pPr>
              <w:spacing w:after="0"/>
            </w:pPr>
            <w:r>
              <w:rPr>
                <w:rFonts w:ascii="宋体" w:hAnsi="宋体" w:eastAsia="宋体" w:cs="宋体"/>
                <w:b/>
                <w:bCs/>
                <w:color w:val="FFFFFF"/>
                <w:sz w:val="20"/>
                <w:szCs w:val="20"/>
              </w:rPr>
              <w:t>许可方式</w:t>
            </w:r>
          </w:p>
        </w:tc>
      </w:tr>
      <w:tr w14:paraId="0F55D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AA2DF6">
            <w:pPr>
              <w:spacing w:after="0"/>
            </w:pPr>
            <w:r>
              <w:rPr>
                <w:rFonts w:ascii="宋体" w:hAnsi="宋体" w:eastAsia="宋体" w:cs="宋体"/>
                <w:sz w:val="20"/>
                <w:szCs w:val="20"/>
              </w:rPr>
              <w:t>CloudCompare</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B9D54B">
            <w:pPr>
              <w:spacing w:after="0"/>
            </w:pPr>
            <w:r>
              <w:rPr>
                <w:rFonts w:ascii="宋体" w:hAnsi="宋体" w:eastAsia="宋体" w:cs="宋体"/>
                <w:sz w:val="20"/>
                <w:szCs w:val="20"/>
              </w:rPr>
              <w:t>点云处理</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8ADB4F">
            <w:pPr>
              <w:spacing w:after="0"/>
            </w:pPr>
            <w:r>
              <w:rPr>
                <w:rFonts w:ascii="宋体" w:hAnsi="宋体" w:eastAsia="宋体" w:cs="宋体"/>
                <w:sz w:val="20"/>
                <w:szCs w:val="20"/>
              </w:rPr>
              <w:t>开源社区</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1263ECB">
            <w:pPr>
              <w:spacing w:after="0"/>
            </w:pPr>
            <w:r>
              <w:rPr>
                <w:rFonts w:ascii="宋体" w:hAnsi="宋体" w:eastAsia="宋体" w:cs="宋体"/>
                <w:sz w:val="20"/>
                <w:szCs w:val="20"/>
              </w:rPr>
              <w:t>点云去噪、配准、比较</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FFD375">
            <w:pPr>
              <w:spacing w:after="0"/>
            </w:pPr>
            <w:r>
              <w:rPr>
                <w:rFonts w:ascii="宋体" w:hAnsi="宋体" w:eastAsia="宋体" w:cs="宋体"/>
                <w:sz w:val="20"/>
                <w:szCs w:val="20"/>
              </w:rPr>
              <w:t>开源免费</w:t>
            </w:r>
          </w:p>
        </w:tc>
      </w:tr>
      <w:tr w14:paraId="45BC7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2EBE2F">
            <w:pPr>
              <w:spacing w:after="0"/>
            </w:pPr>
            <w:r>
              <w:rPr>
                <w:rFonts w:ascii="宋体" w:hAnsi="宋体" w:eastAsia="宋体" w:cs="宋体"/>
                <w:sz w:val="20"/>
                <w:szCs w:val="20"/>
              </w:rPr>
              <w:t>MeshLab</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408571">
            <w:pPr>
              <w:spacing w:after="0"/>
            </w:pPr>
            <w:r>
              <w:rPr>
                <w:rFonts w:ascii="宋体" w:hAnsi="宋体" w:eastAsia="宋体" w:cs="宋体"/>
                <w:sz w:val="20"/>
                <w:szCs w:val="20"/>
              </w:rPr>
              <w:t>网格处理</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8886F05">
            <w:pPr>
              <w:spacing w:after="0"/>
            </w:pPr>
            <w:r>
              <w:rPr>
                <w:rFonts w:ascii="宋体" w:hAnsi="宋体" w:eastAsia="宋体" w:cs="宋体"/>
                <w:sz w:val="20"/>
                <w:szCs w:val="20"/>
              </w:rPr>
              <w:t>开源社区</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C83751">
            <w:pPr>
              <w:spacing w:after="0"/>
            </w:pPr>
            <w:r>
              <w:rPr>
                <w:rFonts w:ascii="宋体" w:hAnsi="宋体" w:eastAsia="宋体" w:cs="宋体"/>
                <w:sz w:val="20"/>
                <w:szCs w:val="20"/>
              </w:rPr>
              <w:t>网格编辑、简化、修复</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19845D">
            <w:pPr>
              <w:spacing w:after="0"/>
            </w:pPr>
            <w:r>
              <w:rPr>
                <w:rFonts w:ascii="宋体" w:hAnsi="宋体" w:eastAsia="宋体" w:cs="宋体"/>
                <w:sz w:val="20"/>
                <w:szCs w:val="20"/>
              </w:rPr>
              <w:t>开源免费</w:t>
            </w:r>
          </w:p>
        </w:tc>
      </w:tr>
      <w:tr w14:paraId="1F1B0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CB0C06">
            <w:pPr>
              <w:spacing w:after="0"/>
            </w:pPr>
            <w:r>
              <w:rPr>
                <w:rFonts w:ascii="宋体" w:hAnsi="宋体" w:eastAsia="宋体" w:cs="宋体"/>
                <w:sz w:val="20"/>
                <w:szCs w:val="20"/>
              </w:rPr>
              <w:t>Geomagic Wrap</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19DAA0">
            <w:pPr>
              <w:spacing w:after="0"/>
            </w:pPr>
            <w:r>
              <w:rPr>
                <w:rFonts w:ascii="宋体" w:hAnsi="宋体" w:eastAsia="宋体" w:cs="宋体"/>
                <w:sz w:val="20"/>
                <w:szCs w:val="20"/>
              </w:rPr>
              <w:t>逆向工程</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D8F56C">
            <w:pPr>
              <w:spacing w:after="0"/>
            </w:pPr>
            <w:r>
              <w:rPr>
                <w:rFonts w:ascii="宋体" w:hAnsi="宋体" w:eastAsia="宋体" w:cs="宋体"/>
                <w:sz w:val="20"/>
                <w:szCs w:val="20"/>
              </w:rPr>
              <w:t>3D Systems（美国）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4030B6">
            <w:pPr>
              <w:spacing w:after="0"/>
            </w:pPr>
            <w:r>
              <w:rPr>
                <w:rFonts w:ascii="宋体" w:hAnsi="宋体" w:eastAsia="宋体" w:cs="宋体"/>
                <w:sz w:val="20"/>
                <w:szCs w:val="20"/>
              </w:rPr>
              <w:t>点云转网格、曲面重建</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73FB30">
            <w:pPr>
              <w:spacing w:after="0"/>
            </w:pPr>
            <w:r>
              <w:rPr>
                <w:rFonts w:ascii="宋体" w:hAnsi="宋体" w:eastAsia="宋体" w:cs="宋体"/>
                <w:sz w:val="20"/>
                <w:szCs w:val="20"/>
              </w:rPr>
              <w:t>商业许可</w:t>
            </w:r>
          </w:p>
        </w:tc>
      </w:tr>
      <w:tr w14:paraId="52AE2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72C02B">
            <w:pPr>
              <w:spacing w:after="0"/>
            </w:pPr>
            <w:r>
              <w:rPr>
                <w:rFonts w:ascii="宋体" w:hAnsi="宋体" w:eastAsia="宋体" w:cs="宋体"/>
                <w:sz w:val="20"/>
                <w:szCs w:val="20"/>
              </w:rPr>
              <w:t>RealityCapture</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A12B36">
            <w:pPr>
              <w:spacing w:after="0"/>
            </w:pPr>
            <w:r>
              <w:rPr>
                <w:rFonts w:ascii="宋体" w:hAnsi="宋体" w:eastAsia="宋体" w:cs="宋体"/>
                <w:sz w:val="20"/>
                <w:szCs w:val="20"/>
              </w:rPr>
              <w:t>摄影测量</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CF9A23">
            <w:pPr>
              <w:spacing w:after="0"/>
            </w:pPr>
            <w:r>
              <w:rPr>
                <w:rFonts w:ascii="宋体" w:hAnsi="宋体" w:eastAsia="宋体" w:cs="宋体"/>
                <w:sz w:val="20"/>
                <w:szCs w:val="20"/>
              </w:rPr>
              <w:t>Capturing Reality（斯洛伐克）</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BDD596">
            <w:pPr>
              <w:spacing w:after="0"/>
            </w:pPr>
            <w:r>
              <w:rPr>
                <w:rFonts w:ascii="宋体" w:hAnsi="宋体" w:eastAsia="宋体" w:cs="宋体"/>
                <w:sz w:val="20"/>
                <w:szCs w:val="20"/>
              </w:rPr>
              <w:t>从照片生成三维模型</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6E957F">
            <w:pPr>
              <w:spacing w:after="0"/>
            </w:pPr>
            <w:r>
              <w:rPr>
                <w:rFonts w:ascii="宋体" w:hAnsi="宋体" w:eastAsia="宋体" w:cs="宋体"/>
                <w:sz w:val="20"/>
                <w:szCs w:val="20"/>
              </w:rPr>
              <w:t>商业许可</w:t>
            </w:r>
          </w:p>
        </w:tc>
      </w:tr>
      <w:tr w14:paraId="107A5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2DF3BE9">
            <w:pPr>
              <w:spacing w:after="0"/>
            </w:pPr>
            <w:r>
              <w:rPr>
                <w:rFonts w:ascii="宋体" w:hAnsi="宋体" w:eastAsia="宋体" w:cs="宋体"/>
                <w:sz w:val="20"/>
                <w:szCs w:val="20"/>
              </w:rPr>
              <w:t>Agisoft Metashape</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6B2AFA">
            <w:pPr>
              <w:spacing w:after="0"/>
            </w:pPr>
            <w:r>
              <w:rPr>
                <w:rFonts w:ascii="宋体" w:hAnsi="宋体" w:eastAsia="宋体" w:cs="宋体"/>
                <w:sz w:val="20"/>
                <w:szCs w:val="20"/>
              </w:rPr>
              <w:t>摄影测量</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1319D5">
            <w:pPr>
              <w:spacing w:after="0"/>
            </w:pPr>
            <w:r>
              <w:rPr>
                <w:rFonts w:ascii="宋体" w:hAnsi="宋体" w:eastAsia="宋体" w:cs="宋体"/>
                <w:sz w:val="20"/>
                <w:szCs w:val="20"/>
              </w:rPr>
              <w:t>Agisoft（俄罗斯）</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53D087">
            <w:pPr>
              <w:spacing w:after="0"/>
            </w:pPr>
            <w:r>
              <w:rPr>
                <w:rFonts w:ascii="宋体" w:hAnsi="宋体" w:eastAsia="宋体" w:cs="宋体"/>
                <w:sz w:val="20"/>
                <w:szCs w:val="20"/>
              </w:rPr>
              <w:t>从照片生成三维模型</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1CB278">
            <w:pPr>
              <w:spacing w:after="0"/>
            </w:pPr>
            <w:r>
              <w:rPr>
                <w:rFonts w:ascii="宋体" w:hAnsi="宋体" w:eastAsia="宋体" w:cs="宋体"/>
                <w:sz w:val="20"/>
                <w:szCs w:val="20"/>
              </w:rPr>
              <w:t>商业许可</w:t>
            </w:r>
          </w:p>
        </w:tc>
      </w:tr>
      <w:tr w14:paraId="1FB0E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830CD15">
            <w:pPr>
              <w:spacing w:after="0"/>
            </w:pPr>
            <w:r>
              <w:rPr>
                <w:rFonts w:ascii="宋体" w:hAnsi="宋体" w:eastAsia="宋体" w:cs="宋体"/>
                <w:sz w:val="20"/>
                <w:szCs w:val="20"/>
              </w:rPr>
              <w:t>Pix4Dmapper</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716EE2">
            <w:pPr>
              <w:spacing w:after="0"/>
            </w:pPr>
            <w:r>
              <w:rPr>
                <w:rFonts w:ascii="宋体" w:hAnsi="宋体" w:eastAsia="宋体" w:cs="宋体"/>
                <w:sz w:val="20"/>
                <w:szCs w:val="20"/>
              </w:rPr>
              <w:t>无人机摄影测量</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F3DB2C">
            <w:pPr>
              <w:spacing w:after="0"/>
            </w:pPr>
            <w:r>
              <w:rPr>
                <w:rFonts w:ascii="宋体" w:hAnsi="宋体" w:eastAsia="宋体" w:cs="宋体"/>
                <w:sz w:val="20"/>
                <w:szCs w:val="20"/>
              </w:rPr>
              <w:t>Pix4D（瑞士）</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359E1A">
            <w:pPr>
              <w:spacing w:after="0"/>
            </w:pPr>
            <w:r>
              <w:rPr>
                <w:rFonts w:ascii="宋体" w:hAnsi="宋体" w:eastAsia="宋体" w:cs="宋体"/>
                <w:sz w:val="20"/>
                <w:szCs w:val="20"/>
              </w:rPr>
              <w:t>无人机航片三维重建</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1F63A2">
            <w:pPr>
              <w:spacing w:after="0"/>
            </w:pPr>
            <w:r>
              <w:rPr>
                <w:rFonts w:ascii="宋体" w:hAnsi="宋体" w:eastAsia="宋体" w:cs="宋体"/>
                <w:sz w:val="20"/>
                <w:szCs w:val="20"/>
              </w:rPr>
              <w:t>商业许可</w:t>
            </w:r>
          </w:p>
        </w:tc>
      </w:tr>
      <w:tr w14:paraId="39C44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712335">
            <w:pPr>
              <w:spacing w:after="0"/>
            </w:pPr>
            <w:r>
              <w:rPr>
                <w:rFonts w:ascii="宋体" w:hAnsi="宋体" w:eastAsia="宋体" w:cs="宋体"/>
                <w:sz w:val="20"/>
                <w:szCs w:val="20"/>
              </w:rPr>
              <w:t>DJI Terra</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E623B3">
            <w:pPr>
              <w:spacing w:after="0"/>
            </w:pPr>
            <w:r>
              <w:rPr>
                <w:rFonts w:ascii="宋体" w:hAnsi="宋体" w:eastAsia="宋体" w:cs="宋体"/>
                <w:sz w:val="20"/>
                <w:szCs w:val="20"/>
              </w:rPr>
              <w:t>无人机摄影测量</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CD413F6">
            <w:pPr>
              <w:spacing w:after="0"/>
            </w:pPr>
            <w:r>
              <w:rPr>
                <w:rFonts w:ascii="宋体" w:hAnsi="宋体" w:eastAsia="宋体" w:cs="宋体"/>
                <w:sz w:val="20"/>
                <w:szCs w:val="20"/>
              </w:rPr>
              <w:t>DJI（中国）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ED3374">
            <w:pPr>
              <w:spacing w:after="0"/>
            </w:pPr>
            <w:r>
              <w:rPr>
                <w:rFonts w:ascii="宋体" w:hAnsi="宋体" w:eastAsia="宋体" w:cs="宋体"/>
                <w:sz w:val="20"/>
                <w:szCs w:val="20"/>
              </w:rPr>
              <w:t>无人机航片三维重建</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97AADA">
            <w:pPr>
              <w:spacing w:after="0"/>
            </w:pPr>
            <w:r>
              <w:rPr>
                <w:rFonts w:ascii="宋体" w:hAnsi="宋体" w:eastAsia="宋体" w:cs="宋体"/>
                <w:sz w:val="20"/>
                <w:szCs w:val="20"/>
              </w:rPr>
              <w:t>商业许可（含免费版）</w:t>
            </w:r>
          </w:p>
        </w:tc>
      </w:tr>
    </w:tbl>
    <w:p w14:paraId="2F9950C4">
      <w:pPr>
        <w:pStyle w:val="3"/>
        <w:spacing w:before="300" w:after="200"/>
      </w:pPr>
      <w:bookmarkStart w:id="381" w:name="_Toc10680"/>
      <w:r>
        <w:rPr>
          <w:rFonts w:ascii="黑体" w:hAnsi="黑体" w:eastAsia="黑体" w:cs="黑体"/>
          <w:b/>
          <w:bCs/>
          <w:color w:val="000000"/>
          <w:sz w:val="28"/>
          <w:szCs w:val="28"/>
        </w:rPr>
        <w:t>D.4 BIM/HBIM软件</w:t>
      </w:r>
      <w:bookmarkEnd w:id="381"/>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2E071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9A4BDC9">
            <w:pPr>
              <w:spacing w:after="0"/>
            </w:pPr>
            <w:r>
              <w:rPr>
                <w:rFonts w:ascii="宋体" w:hAnsi="宋体" w:eastAsia="宋体" w:cs="宋体"/>
                <w:b/>
                <w:bCs/>
                <w:color w:val="FFFFFF"/>
                <w:sz w:val="20"/>
                <w:szCs w:val="20"/>
              </w:rPr>
              <w:t>软件名称</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8C37E6A">
            <w:pPr>
              <w:spacing w:after="0"/>
            </w:pPr>
            <w:r>
              <w:rPr>
                <w:rFonts w:ascii="宋体" w:hAnsi="宋体" w:eastAsia="宋体" w:cs="宋体"/>
                <w:b/>
                <w:bCs/>
                <w:color w:val="FFFFFF"/>
                <w:sz w:val="20"/>
                <w:szCs w:val="20"/>
              </w:rPr>
              <w:t>类型</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930A18F">
            <w:pPr>
              <w:spacing w:after="0"/>
            </w:pPr>
            <w:r>
              <w:rPr>
                <w:rFonts w:ascii="宋体" w:hAnsi="宋体" w:eastAsia="宋体" w:cs="宋体"/>
                <w:b/>
                <w:bCs/>
                <w:color w:val="FFFFFF"/>
                <w:sz w:val="20"/>
                <w:szCs w:val="20"/>
              </w:rPr>
              <w:t>厂商</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E369092">
            <w:pPr>
              <w:spacing w:after="0"/>
            </w:pPr>
            <w:r>
              <w:rPr>
                <w:rFonts w:ascii="宋体" w:hAnsi="宋体" w:eastAsia="宋体" w:cs="宋体"/>
                <w:b/>
                <w:bCs/>
                <w:color w:val="FFFFFF"/>
                <w:sz w:val="20"/>
                <w:szCs w:val="20"/>
              </w:rPr>
              <w:t>主要功能</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0D9FC18">
            <w:pPr>
              <w:spacing w:after="0"/>
            </w:pPr>
            <w:r>
              <w:rPr>
                <w:rFonts w:ascii="宋体" w:hAnsi="宋体" w:eastAsia="宋体" w:cs="宋体"/>
                <w:b/>
                <w:bCs/>
                <w:color w:val="FFFFFF"/>
                <w:sz w:val="20"/>
                <w:szCs w:val="20"/>
              </w:rPr>
              <w:t>许可方式</w:t>
            </w:r>
          </w:p>
        </w:tc>
      </w:tr>
      <w:tr w14:paraId="31F8B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4ED1C2">
            <w:pPr>
              <w:spacing w:after="0"/>
            </w:pPr>
            <w:r>
              <w:rPr>
                <w:rFonts w:ascii="宋体" w:hAnsi="宋体" w:eastAsia="宋体" w:cs="宋体"/>
                <w:sz w:val="20"/>
                <w:szCs w:val="20"/>
              </w:rPr>
              <w:t>Autodesk Revit</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8E92F1F">
            <w:pPr>
              <w:spacing w:after="0"/>
            </w:pPr>
            <w:r>
              <w:rPr>
                <w:rFonts w:ascii="宋体" w:hAnsi="宋体" w:eastAsia="宋体" w:cs="宋体"/>
                <w:sz w:val="20"/>
                <w:szCs w:val="20"/>
              </w:rPr>
              <w:t>BIM建模</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DAC943">
            <w:pPr>
              <w:spacing w:after="0"/>
            </w:pPr>
            <w:r>
              <w:rPr>
                <w:rFonts w:ascii="宋体" w:hAnsi="宋体" w:eastAsia="宋体" w:cs="宋体"/>
                <w:sz w:val="20"/>
                <w:szCs w:val="20"/>
              </w:rPr>
              <w:t>Autodesk（美国）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E6A922">
            <w:pPr>
              <w:spacing w:after="0"/>
            </w:pPr>
            <w:r>
              <w:rPr>
                <w:rFonts w:ascii="宋体" w:hAnsi="宋体" w:eastAsia="宋体" w:cs="宋体"/>
                <w:sz w:val="20"/>
                <w:szCs w:val="20"/>
              </w:rPr>
              <w:t>建筑信息建模</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A4A6EA">
            <w:pPr>
              <w:spacing w:after="0"/>
            </w:pPr>
            <w:r>
              <w:rPr>
                <w:rFonts w:ascii="宋体" w:hAnsi="宋体" w:eastAsia="宋体" w:cs="宋体"/>
                <w:sz w:val="20"/>
                <w:szCs w:val="20"/>
              </w:rPr>
              <w:t>商业许可（教育版免费）</w:t>
            </w:r>
          </w:p>
        </w:tc>
      </w:tr>
      <w:tr w14:paraId="09EAC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F0CCF5">
            <w:pPr>
              <w:spacing w:after="0"/>
            </w:pPr>
            <w:r>
              <w:rPr>
                <w:rFonts w:ascii="宋体" w:hAnsi="宋体" w:eastAsia="宋体" w:cs="宋体"/>
                <w:sz w:val="20"/>
                <w:szCs w:val="20"/>
              </w:rPr>
              <w:t>Graphisoft ArchiCAD</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E5BB84">
            <w:pPr>
              <w:spacing w:after="0"/>
            </w:pPr>
            <w:r>
              <w:rPr>
                <w:rFonts w:ascii="宋体" w:hAnsi="宋体" w:eastAsia="宋体" w:cs="宋体"/>
                <w:sz w:val="20"/>
                <w:szCs w:val="20"/>
              </w:rPr>
              <w:t>BIM建模</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6DA64F">
            <w:pPr>
              <w:spacing w:after="0"/>
            </w:pPr>
            <w:r>
              <w:rPr>
                <w:rFonts w:ascii="宋体" w:hAnsi="宋体" w:eastAsia="宋体" w:cs="宋体"/>
                <w:sz w:val="20"/>
                <w:szCs w:val="20"/>
              </w:rPr>
              <w:t>Graphisoft（匈牙利）</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481980">
            <w:pPr>
              <w:spacing w:after="0"/>
            </w:pPr>
            <w:r>
              <w:rPr>
                <w:rFonts w:ascii="宋体" w:hAnsi="宋体" w:eastAsia="宋体" w:cs="宋体"/>
                <w:sz w:val="20"/>
                <w:szCs w:val="20"/>
              </w:rPr>
              <w:t>建筑信息建模</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45364C0">
            <w:pPr>
              <w:spacing w:after="0"/>
            </w:pPr>
            <w:r>
              <w:rPr>
                <w:rFonts w:ascii="宋体" w:hAnsi="宋体" w:eastAsia="宋体" w:cs="宋体"/>
                <w:sz w:val="20"/>
                <w:szCs w:val="20"/>
              </w:rPr>
              <w:t>商业许可</w:t>
            </w:r>
          </w:p>
        </w:tc>
      </w:tr>
      <w:tr w14:paraId="12236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356A1C">
            <w:pPr>
              <w:spacing w:after="0"/>
            </w:pPr>
            <w:r>
              <w:rPr>
                <w:rFonts w:ascii="宋体" w:hAnsi="宋体" w:eastAsia="宋体" w:cs="宋体"/>
                <w:sz w:val="20"/>
                <w:szCs w:val="20"/>
              </w:rPr>
              <w:t>SketchUp Pro</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44BB12">
            <w:pPr>
              <w:spacing w:after="0"/>
            </w:pPr>
            <w:r>
              <w:rPr>
                <w:rFonts w:ascii="宋体" w:hAnsi="宋体" w:eastAsia="宋体" w:cs="宋体"/>
                <w:sz w:val="20"/>
                <w:szCs w:val="20"/>
              </w:rPr>
              <w:t>三维建模</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77561D">
            <w:pPr>
              <w:spacing w:after="0"/>
            </w:pPr>
            <w:r>
              <w:rPr>
                <w:rFonts w:ascii="宋体" w:hAnsi="宋体" w:eastAsia="宋体" w:cs="宋体"/>
                <w:sz w:val="20"/>
                <w:szCs w:val="20"/>
              </w:rPr>
              <w:t>Trimble（美国）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2CAF79">
            <w:pPr>
              <w:spacing w:after="0"/>
            </w:pPr>
            <w:r>
              <w:rPr>
                <w:rFonts w:ascii="宋体" w:hAnsi="宋体" w:eastAsia="宋体" w:cs="宋体"/>
                <w:sz w:val="20"/>
                <w:szCs w:val="20"/>
              </w:rPr>
              <w:t>快速三维建模</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C65EBC">
            <w:pPr>
              <w:spacing w:after="0"/>
            </w:pPr>
            <w:r>
              <w:rPr>
                <w:rFonts w:ascii="宋体" w:hAnsi="宋体" w:eastAsia="宋体" w:cs="宋体"/>
                <w:sz w:val="20"/>
                <w:szCs w:val="20"/>
              </w:rPr>
              <w:t>商业许可（有免费版）</w:t>
            </w:r>
          </w:p>
        </w:tc>
      </w:tr>
      <w:tr w14:paraId="615A8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5FCAE7">
            <w:pPr>
              <w:spacing w:after="0"/>
            </w:pPr>
            <w:r>
              <w:rPr>
                <w:rFonts w:ascii="宋体" w:hAnsi="宋体" w:eastAsia="宋体" w:cs="宋体"/>
                <w:sz w:val="20"/>
                <w:szCs w:val="20"/>
              </w:rPr>
              <w:t>Blender</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85830E">
            <w:pPr>
              <w:spacing w:after="0"/>
            </w:pPr>
            <w:r>
              <w:rPr>
                <w:rFonts w:ascii="宋体" w:hAnsi="宋体" w:eastAsia="宋体" w:cs="宋体"/>
                <w:sz w:val="20"/>
                <w:szCs w:val="20"/>
              </w:rPr>
              <w:t>三维建模与动画</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37A94F">
            <w:pPr>
              <w:spacing w:after="0"/>
            </w:pPr>
            <w:r>
              <w:rPr>
                <w:rFonts w:ascii="宋体" w:hAnsi="宋体" w:eastAsia="宋体" w:cs="宋体"/>
                <w:sz w:val="20"/>
                <w:szCs w:val="20"/>
              </w:rPr>
              <w:t>Blender基金会（荷兰）</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389FF4">
            <w:pPr>
              <w:spacing w:after="0"/>
            </w:pPr>
            <w:r>
              <w:rPr>
                <w:rFonts w:ascii="宋体" w:hAnsi="宋体" w:eastAsia="宋体" w:cs="宋体"/>
                <w:sz w:val="20"/>
                <w:szCs w:val="20"/>
              </w:rPr>
              <w:t>全功能三维软件</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475D829">
            <w:pPr>
              <w:spacing w:after="0"/>
            </w:pPr>
            <w:r>
              <w:rPr>
                <w:rFonts w:ascii="宋体" w:hAnsi="宋体" w:eastAsia="宋体" w:cs="宋体"/>
                <w:sz w:val="20"/>
                <w:szCs w:val="20"/>
              </w:rPr>
              <w:t>开源免费</w:t>
            </w:r>
          </w:p>
        </w:tc>
      </w:tr>
    </w:tbl>
    <w:p w14:paraId="674508FF">
      <w:pPr>
        <w:pStyle w:val="3"/>
        <w:spacing w:before="300" w:after="200"/>
      </w:pPr>
      <w:bookmarkStart w:id="382" w:name="_Toc21314"/>
      <w:r>
        <w:rPr>
          <w:rFonts w:ascii="黑体" w:hAnsi="黑体" w:eastAsia="黑体" w:cs="黑体"/>
          <w:b/>
          <w:bCs/>
          <w:color w:val="000000"/>
          <w:sz w:val="28"/>
          <w:szCs w:val="28"/>
        </w:rPr>
        <w:t>D.5 GIS与空间分析工具</w:t>
      </w:r>
      <w:bookmarkEnd w:id="38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29055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FD26496">
            <w:pPr>
              <w:spacing w:after="0"/>
            </w:pPr>
            <w:r>
              <w:rPr>
                <w:rFonts w:ascii="宋体" w:hAnsi="宋体" w:eastAsia="宋体" w:cs="宋体"/>
                <w:b/>
                <w:bCs/>
                <w:color w:val="FFFFFF"/>
                <w:sz w:val="20"/>
                <w:szCs w:val="20"/>
              </w:rPr>
              <w:t>软件名称</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1FB86EA">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DAB372A">
            <w:pPr>
              <w:spacing w:after="0"/>
            </w:pPr>
            <w:r>
              <w:rPr>
                <w:rFonts w:ascii="宋体" w:hAnsi="宋体" w:eastAsia="宋体" w:cs="宋体"/>
                <w:b/>
                <w:bCs/>
                <w:color w:val="FFFFFF"/>
                <w:sz w:val="20"/>
                <w:szCs w:val="20"/>
              </w:rPr>
              <w:t>主要功能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00727D4">
            <w:pPr>
              <w:spacing w:after="0"/>
            </w:pPr>
            <w:r>
              <w:rPr>
                <w:rFonts w:ascii="宋体" w:hAnsi="宋体" w:eastAsia="宋体" w:cs="宋体"/>
                <w:b/>
                <w:bCs/>
                <w:color w:val="FFFFFF"/>
                <w:sz w:val="20"/>
                <w:szCs w:val="20"/>
              </w:rPr>
              <w:t>许可方式</w:t>
            </w:r>
          </w:p>
        </w:tc>
      </w:tr>
      <w:tr w14:paraId="4AE2D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B93BB17">
            <w:pPr>
              <w:spacing w:after="0"/>
            </w:pPr>
            <w:r>
              <w:rPr>
                <w:rFonts w:ascii="宋体" w:hAnsi="宋体" w:eastAsia="宋体" w:cs="宋体"/>
                <w:sz w:val="20"/>
                <w:szCs w:val="20"/>
              </w:rPr>
              <w:t>QGIS</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6CFA67">
            <w:pPr>
              <w:spacing w:after="0"/>
            </w:pPr>
            <w:r>
              <w:rPr>
                <w:rFonts w:ascii="宋体" w:hAnsi="宋体" w:eastAsia="宋体" w:cs="宋体"/>
                <w:sz w:val="20"/>
                <w:szCs w:val="20"/>
              </w:rPr>
              <w:t>桌面GIS</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CE9AE2">
            <w:pPr>
              <w:spacing w:after="0"/>
            </w:pPr>
            <w:r>
              <w:rPr>
                <w:rFonts w:ascii="宋体" w:hAnsi="宋体" w:eastAsia="宋体" w:cs="宋体"/>
                <w:sz w:val="20"/>
                <w:szCs w:val="20"/>
              </w:rPr>
              <w:t>空间数据管理、分析、制图</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B80860">
            <w:pPr>
              <w:spacing w:after="0"/>
            </w:pPr>
            <w:r>
              <w:rPr>
                <w:rFonts w:ascii="宋体" w:hAnsi="宋体" w:eastAsia="宋体" w:cs="宋体"/>
                <w:sz w:val="20"/>
                <w:szCs w:val="20"/>
              </w:rPr>
              <w:t>开源免费</w:t>
            </w:r>
          </w:p>
        </w:tc>
      </w:tr>
      <w:tr w14:paraId="11B2B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C148A2">
            <w:pPr>
              <w:spacing w:after="0"/>
            </w:pPr>
            <w:r>
              <w:rPr>
                <w:rFonts w:ascii="宋体" w:hAnsi="宋体" w:eastAsia="宋体" w:cs="宋体"/>
                <w:sz w:val="20"/>
                <w:szCs w:val="20"/>
              </w:rPr>
              <w:t>ArcGIS Pro</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9996900">
            <w:pPr>
              <w:spacing w:after="0"/>
            </w:pPr>
            <w:r>
              <w:rPr>
                <w:rFonts w:ascii="宋体" w:hAnsi="宋体" w:eastAsia="宋体" w:cs="宋体"/>
                <w:sz w:val="20"/>
                <w:szCs w:val="20"/>
              </w:rPr>
              <w:t>桌面GIS</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406953">
            <w:pPr>
              <w:spacing w:after="0"/>
            </w:pPr>
            <w:r>
              <w:rPr>
                <w:rFonts w:ascii="宋体" w:hAnsi="宋体" w:eastAsia="宋体" w:cs="宋体"/>
                <w:sz w:val="20"/>
                <w:szCs w:val="20"/>
              </w:rPr>
              <w:t>专业级空间分析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318A20">
            <w:pPr>
              <w:spacing w:after="0"/>
            </w:pPr>
            <w:r>
              <w:rPr>
                <w:rFonts w:ascii="宋体" w:hAnsi="宋体" w:eastAsia="宋体" w:cs="宋体"/>
                <w:sz w:val="20"/>
                <w:szCs w:val="20"/>
              </w:rPr>
              <w:t>商业许可</w:t>
            </w:r>
          </w:p>
        </w:tc>
      </w:tr>
      <w:tr w14:paraId="1B526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93A321">
            <w:pPr>
              <w:spacing w:after="0"/>
            </w:pPr>
            <w:r>
              <w:rPr>
                <w:rFonts w:ascii="宋体" w:hAnsi="宋体" w:eastAsia="宋体" w:cs="宋体"/>
                <w:sz w:val="20"/>
                <w:szCs w:val="20"/>
              </w:rPr>
              <w:t>ArcGIS Online</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0974DB">
            <w:pPr>
              <w:spacing w:after="0"/>
            </w:pPr>
            <w:r>
              <w:rPr>
                <w:rFonts w:ascii="宋体" w:hAnsi="宋体" w:eastAsia="宋体" w:cs="宋体"/>
                <w:sz w:val="20"/>
                <w:szCs w:val="20"/>
              </w:rPr>
              <w:t>云GIS</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FF02375">
            <w:pPr>
              <w:spacing w:after="0"/>
            </w:pPr>
            <w:r>
              <w:rPr>
                <w:rFonts w:ascii="宋体" w:hAnsi="宋体" w:eastAsia="宋体" w:cs="宋体"/>
                <w:sz w:val="20"/>
                <w:szCs w:val="20"/>
              </w:rPr>
              <w:t>在线地图制作与分享</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380333">
            <w:pPr>
              <w:spacing w:after="0"/>
            </w:pPr>
            <w:r>
              <w:rPr>
                <w:rFonts w:ascii="宋体" w:hAnsi="宋体" w:eastAsia="宋体" w:cs="宋体"/>
                <w:sz w:val="20"/>
                <w:szCs w:val="20"/>
              </w:rPr>
              <w:t>商业许可（有免费版）</w:t>
            </w:r>
          </w:p>
        </w:tc>
      </w:tr>
      <w:tr w14:paraId="153EF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7F9439">
            <w:pPr>
              <w:spacing w:after="0"/>
            </w:pPr>
            <w:r>
              <w:rPr>
                <w:rFonts w:ascii="宋体" w:hAnsi="宋体" w:eastAsia="宋体" w:cs="宋体"/>
                <w:sz w:val="20"/>
                <w:szCs w:val="20"/>
              </w:rPr>
              <w:t>Google Earth Pro</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130E08">
            <w:pPr>
              <w:spacing w:after="0"/>
            </w:pPr>
            <w:r>
              <w:rPr>
                <w:rFonts w:ascii="宋体" w:hAnsi="宋体" w:eastAsia="宋体" w:cs="宋体"/>
                <w:sz w:val="20"/>
                <w:szCs w:val="20"/>
              </w:rPr>
              <w:t>虚拟地球</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C91D1B">
            <w:pPr>
              <w:spacing w:after="0"/>
            </w:pPr>
            <w:r>
              <w:rPr>
                <w:rFonts w:ascii="宋体" w:hAnsi="宋体" w:eastAsia="宋体" w:cs="宋体"/>
                <w:sz w:val="20"/>
                <w:szCs w:val="20"/>
              </w:rPr>
              <w:t>三维地形浏览、简单测量</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D2E8623">
            <w:pPr>
              <w:spacing w:after="0"/>
            </w:pPr>
            <w:r>
              <w:rPr>
                <w:rFonts w:ascii="宋体" w:hAnsi="宋体" w:eastAsia="宋体" w:cs="宋体"/>
                <w:sz w:val="20"/>
                <w:szCs w:val="20"/>
              </w:rPr>
              <w:t>免费</w:t>
            </w:r>
          </w:p>
        </w:tc>
      </w:tr>
    </w:tbl>
    <w:p w14:paraId="6DFE00DE">
      <w:pPr>
        <w:pStyle w:val="3"/>
        <w:spacing w:before="300" w:after="200"/>
      </w:pPr>
      <w:bookmarkStart w:id="383" w:name="_Toc17428"/>
      <w:r>
        <w:rPr>
          <w:rFonts w:ascii="黑体" w:hAnsi="黑体" w:eastAsia="黑体" w:cs="黑体"/>
          <w:b/>
          <w:bCs/>
          <w:color w:val="000000"/>
          <w:sz w:val="28"/>
          <w:szCs w:val="28"/>
        </w:rPr>
        <w:t>D.6 知识图谱工具</w:t>
      </w:r>
      <w:bookmarkEnd w:id="38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1F860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A78A3C5">
            <w:pPr>
              <w:spacing w:after="0"/>
            </w:pPr>
            <w:r>
              <w:rPr>
                <w:rFonts w:ascii="宋体" w:hAnsi="宋体" w:eastAsia="宋体" w:cs="宋体"/>
                <w:b/>
                <w:bCs/>
                <w:color w:val="FFFFFF"/>
                <w:sz w:val="20"/>
                <w:szCs w:val="20"/>
              </w:rPr>
              <w:t>工具名称</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4D6065B">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F4CE145">
            <w:pPr>
              <w:spacing w:after="0"/>
            </w:pPr>
            <w:r>
              <w:rPr>
                <w:rFonts w:ascii="宋体" w:hAnsi="宋体" w:eastAsia="宋体" w:cs="宋体"/>
                <w:b/>
                <w:bCs/>
                <w:color w:val="FFFFFF"/>
                <w:sz w:val="20"/>
                <w:szCs w:val="20"/>
              </w:rPr>
              <w:t>主要功能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9BDA9D1">
            <w:pPr>
              <w:spacing w:after="0"/>
            </w:pPr>
            <w:r>
              <w:rPr>
                <w:rFonts w:ascii="宋体" w:hAnsi="宋体" w:eastAsia="宋体" w:cs="宋体"/>
                <w:b/>
                <w:bCs/>
                <w:color w:val="FFFFFF"/>
                <w:sz w:val="20"/>
                <w:szCs w:val="20"/>
              </w:rPr>
              <w:t>许可方式</w:t>
            </w:r>
          </w:p>
        </w:tc>
      </w:tr>
      <w:tr w14:paraId="660DC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75208A">
            <w:pPr>
              <w:spacing w:after="0"/>
            </w:pPr>
            <w:r>
              <w:rPr>
                <w:rFonts w:ascii="宋体" w:hAnsi="宋体" w:eastAsia="宋体" w:cs="宋体"/>
                <w:sz w:val="20"/>
                <w:szCs w:val="20"/>
              </w:rPr>
              <w:t>Neo4j</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8B0B37">
            <w:pPr>
              <w:spacing w:after="0"/>
            </w:pPr>
            <w:r>
              <w:rPr>
                <w:rFonts w:ascii="宋体" w:hAnsi="宋体" w:eastAsia="宋体" w:cs="宋体"/>
                <w:sz w:val="20"/>
                <w:szCs w:val="20"/>
              </w:rPr>
              <w:t>图数据库</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99A061">
            <w:pPr>
              <w:spacing w:after="0"/>
            </w:pPr>
            <w:r>
              <w:rPr>
                <w:rFonts w:ascii="宋体" w:hAnsi="宋体" w:eastAsia="宋体" w:cs="宋体"/>
                <w:sz w:val="20"/>
                <w:szCs w:val="20"/>
              </w:rPr>
              <w:t>属性图存储与查询（Cypher语言）</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F21133">
            <w:pPr>
              <w:spacing w:after="0"/>
            </w:pPr>
            <w:r>
              <w:rPr>
                <w:rFonts w:ascii="宋体" w:hAnsi="宋体" w:eastAsia="宋体" w:cs="宋体"/>
                <w:sz w:val="20"/>
                <w:szCs w:val="20"/>
              </w:rPr>
              <w:t>社区版免费</w:t>
            </w:r>
          </w:p>
        </w:tc>
      </w:tr>
      <w:tr w14:paraId="7A3D7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D709C3">
            <w:pPr>
              <w:spacing w:after="0"/>
            </w:pPr>
            <w:r>
              <w:rPr>
                <w:rFonts w:ascii="宋体" w:hAnsi="宋体" w:eastAsia="宋体" w:cs="宋体"/>
                <w:sz w:val="20"/>
                <w:szCs w:val="20"/>
              </w:rPr>
              <w:t>Apache Jena</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D4515B">
            <w:pPr>
              <w:spacing w:after="0"/>
            </w:pPr>
            <w:r>
              <w:rPr>
                <w:rFonts w:ascii="宋体" w:hAnsi="宋体" w:eastAsia="宋体" w:cs="宋体"/>
                <w:sz w:val="20"/>
                <w:szCs w:val="20"/>
              </w:rPr>
              <w:t>RDF框架</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0A0D0C">
            <w:pPr>
              <w:spacing w:after="0"/>
            </w:pPr>
            <w:r>
              <w:rPr>
                <w:rFonts w:ascii="宋体" w:hAnsi="宋体" w:eastAsia="宋体" w:cs="宋体"/>
                <w:sz w:val="20"/>
                <w:szCs w:val="20"/>
              </w:rPr>
              <w:t>RDF三元组存储与SPARQL查询</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5E0BBA">
            <w:pPr>
              <w:spacing w:after="0"/>
            </w:pPr>
            <w:r>
              <w:rPr>
                <w:rFonts w:ascii="宋体" w:hAnsi="宋体" w:eastAsia="宋体" w:cs="宋体"/>
                <w:sz w:val="20"/>
                <w:szCs w:val="20"/>
              </w:rPr>
              <w:t>开源免费</w:t>
            </w:r>
          </w:p>
        </w:tc>
      </w:tr>
      <w:tr w14:paraId="4FD69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C793703">
            <w:pPr>
              <w:spacing w:after="0"/>
            </w:pPr>
            <w:r>
              <w:rPr>
                <w:rFonts w:ascii="宋体" w:hAnsi="宋体" w:eastAsia="宋体" w:cs="宋体"/>
                <w:sz w:val="20"/>
                <w:szCs w:val="20"/>
              </w:rPr>
              <w:t>Protégé</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0CF7E6">
            <w:pPr>
              <w:spacing w:after="0"/>
            </w:pPr>
            <w:r>
              <w:rPr>
                <w:rFonts w:ascii="宋体" w:hAnsi="宋体" w:eastAsia="宋体" w:cs="宋体"/>
                <w:sz w:val="20"/>
                <w:szCs w:val="20"/>
              </w:rPr>
              <w:t>本体编辑器</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726BB3">
            <w:pPr>
              <w:spacing w:after="0"/>
            </w:pPr>
            <w:r>
              <w:rPr>
                <w:rFonts w:ascii="宋体" w:hAnsi="宋体" w:eastAsia="宋体" w:cs="宋体"/>
                <w:sz w:val="20"/>
                <w:szCs w:val="20"/>
              </w:rPr>
              <w:t>本体模型设计与编辑</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F1649B">
            <w:pPr>
              <w:spacing w:after="0"/>
            </w:pPr>
            <w:r>
              <w:rPr>
                <w:rFonts w:ascii="宋体" w:hAnsi="宋体" w:eastAsia="宋体" w:cs="宋体"/>
                <w:sz w:val="20"/>
                <w:szCs w:val="20"/>
              </w:rPr>
              <w:t>开源免费</w:t>
            </w:r>
          </w:p>
        </w:tc>
      </w:tr>
      <w:tr w14:paraId="492DB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F07F54">
            <w:pPr>
              <w:spacing w:after="0"/>
            </w:pPr>
            <w:r>
              <w:rPr>
                <w:rFonts w:ascii="宋体" w:hAnsi="宋体" w:eastAsia="宋体" w:cs="宋体"/>
                <w:sz w:val="20"/>
                <w:szCs w:val="20"/>
              </w:rPr>
              <w:t>GraphDB</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8DCB2B">
            <w:pPr>
              <w:spacing w:after="0"/>
            </w:pPr>
            <w:r>
              <w:rPr>
                <w:rFonts w:ascii="宋体" w:hAnsi="宋体" w:eastAsia="宋体" w:cs="宋体"/>
                <w:sz w:val="20"/>
                <w:szCs w:val="20"/>
              </w:rPr>
              <w:t>RDF数据库</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8D023B">
            <w:pPr>
              <w:spacing w:after="0"/>
            </w:pPr>
            <w:r>
              <w:rPr>
                <w:rFonts w:ascii="宋体" w:hAnsi="宋体" w:eastAsia="宋体" w:cs="宋体"/>
                <w:sz w:val="20"/>
                <w:szCs w:val="20"/>
              </w:rPr>
              <w:t>企业级语义图数据库</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5D40ED0">
            <w:pPr>
              <w:spacing w:after="0"/>
            </w:pPr>
            <w:r>
              <w:rPr>
                <w:rFonts w:ascii="宋体" w:hAnsi="宋体" w:eastAsia="宋体" w:cs="宋体"/>
                <w:sz w:val="20"/>
                <w:szCs w:val="20"/>
              </w:rPr>
              <w:t>免费版可用</w:t>
            </w:r>
          </w:p>
        </w:tc>
      </w:tr>
    </w:tbl>
    <w:p w14:paraId="7EFD0605">
      <w:pPr>
        <w:pStyle w:val="3"/>
        <w:spacing w:before="300" w:after="200"/>
      </w:pPr>
      <w:bookmarkStart w:id="384" w:name="_Toc4923"/>
      <w:r>
        <w:rPr>
          <w:rFonts w:ascii="黑体" w:hAnsi="黑体" w:eastAsia="黑体" w:cs="黑体"/>
          <w:b/>
          <w:bCs/>
          <w:color w:val="000000"/>
          <w:sz w:val="28"/>
          <w:szCs w:val="28"/>
        </w:rPr>
        <w:t>D.7 VR/AR开发平台</w:t>
      </w:r>
      <w:bookmarkEnd w:id="38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739A8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670BC6A">
            <w:pPr>
              <w:spacing w:after="0"/>
            </w:pPr>
            <w:r>
              <w:rPr>
                <w:rFonts w:ascii="宋体" w:hAnsi="宋体" w:eastAsia="宋体" w:cs="宋体"/>
                <w:b/>
                <w:bCs/>
                <w:color w:val="FFFFFF"/>
                <w:sz w:val="20"/>
                <w:szCs w:val="20"/>
              </w:rPr>
              <w:t>平台名称</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755A4F3">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AD9EBB9">
            <w:pPr>
              <w:spacing w:after="0"/>
            </w:pPr>
            <w:r>
              <w:rPr>
                <w:rFonts w:ascii="宋体" w:hAnsi="宋体" w:eastAsia="宋体" w:cs="宋体"/>
                <w:b/>
                <w:bCs/>
                <w:color w:val="FFFFFF"/>
                <w:sz w:val="20"/>
                <w:szCs w:val="20"/>
              </w:rPr>
              <w:t>适用场景</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CFCC7C5">
            <w:pPr>
              <w:spacing w:after="0"/>
            </w:pPr>
            <w:r>
              <w:rPr>
                <w:rFonts w:ascii="宋体" w:hAnsi="宋体" w:eastAsia="宋体" w:cs="宋体"/>
                <w:b/>
                <w:bCs/>
                <w:color w:val="FFFFFF"/>
                <w:sz w:val="20"/>
                <w:szCs w:val="20"/>
              </w:rPr>
              <w:t>许可方式</w:t>
            </w:r>
          </w:p>
        </w:tc>
      </w:tr>
      <w:tr w14:paraId="4E532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3DD68A">
            <w:pPr>
              <w:spacing w:after="0"/>
            </w:pPr>
            <w:r>
              <w:rPr>
                <w:rFonts w:ascii="宋体" w:hAnsi="宋体" w:eastAsia="宋体" w:cs="宋体"/>
                <w:sz w:val="20"/>
                <w:szCs w:val="20"/>
              </w:rPr>
              <w:t>Unity</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6A2712C">
            <w:pPr>
              <w:spacing w:after="0"/>
            </w:pPr>
            <w:r>
              <w:rPr>
                <w:rFonts w:ascii="宋体" w:hAnsi="宋体" w:eastAsia="宋体" w:cs="宋体"/>
                <w:sz w:val="20"/>
                <w:szCs w:val="20"/>
              </w:rPr>
              <w:t>游戏引擎</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686A20">
            <w:pPr>
              <w:spacing w:after="0"/>
            </w:pPr>
            <w:r>
              <w:rPr>
                <w:rFonts w:ascii="宋体" w:hAnsi="宋体" w:eastAsia="宋体" w:cs="宋体"/>
                <w:sz w:val="20"/>
                <w:szCs w:val="20"/>
              </w:rPr>
              <w:t>VR/AR应用开发</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D497B5">
            <w:pPr>
              <w:spacing w:after="0"/>
            </w:pPr>
            <w:r>
              <w:rPr>
                <w:rFonts w:ascii="宋体" w:hAnsi="宋体" w:eastAsia="宋体" w:cs="宋体"/>
                <w:sz w:val="20"/>
                <w:szCs w:val="20"/>
              </w:rPr>
              <w:t>个人版免费</w:t>
            </w:r>
          </w:p>
        </w:tc>
      </w:tr>
      <w:tr w14:paraId="6F14C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EB5DF70">
            <w:pPr>
              <w:spacing w:after="0"/>
            </w:pPr>
            <w:r>
              <w:rPr>
                <w:rFonts w:ascii="宋体" w:hAnsi="宋体" w:eastAsia="宋体" w:cs="宋体"/>
                <w:sz w:val="20"/>
                <w:szCs w:val="20"/>
              </w:rPr>
              <w:t>Unreal Engine</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0C96ED">
            <w:pPr>
              <w:spacing w:after="0"/>
            </w:pPr>
            <w:r>
              <w:rPr>
                <w:rFonts w:ascii="宋体" w:hAnsi="宋体" w:eastAsia="宋体" w:cs="宋体"/>
                <w:sz w:val="20"/>
                <w:szCs w:val="20"/>
              </w:rPr>
              <w:t>游戏引擎</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A4324E">
            <w:pPr>
              <w:spacing w:after="0"/>
            </w:pPr>
            <w:r>
              <w:rPr>
                <w:rFonts w:ascii="宋体" w:hAnsi="宋体" w:eastAsia="宋体" w:cs="宋体"/>
                <w:sz w:val="20"/>
                <w:szCs w:val="20"/>
              </w:rPr>
              <w:t>高质量VR体验开发</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917FE74">
            <w:pPr>
              <w:spacing w:after="0"/>
            </w:pPr>
            <w:r>
              <w:rPr>
                <w:rFonts w:ascii="宋体" w:hAnsi="宋体" w:eastAsia="宋体" w:cs="宋体"/>
                <w:sz w:val="20"/>
                <w:szCs w:val="20"/>
              </w:rPr>
              <w:t>免费（收入超过100万美元需分成）</w:t>
            </w:r>
          </w:p>
        </w:tc>
      </w:tr>
      <w:tr w14:paraId="537C3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A4D02A6">
            <w:pPr>
              <w:spacing w:after="0"/>
            </w:pPr>
            <w:r>
              <w:rPr>
                <w:rFonts w:ascii="宋体" w:hAnsi="宋体" w:eastAsia="宋体" w:cs="宋体"/>
                <w:sz w:val="20"/>
                <w:szCs w:val="20"/>
              </w:rPr>
              <w:t>WebXR</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0FCB0D">
            <w:pPr>
              <w:spacing w:after="0"/>
            </w:pPr>
            <w:r>
              <w:rPr>
                <w:rFonts w:ascii="宋体" w:hAnsi="宋体" w:eastAsia="宋体" w:cs="宋体"/>
                <w:sz w:val="20"/>
                <w:szCs w:val="20"/>
              </w:rPr>
              <w:t>Web标准</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3CADB9">
            <w:pPr>
              <w:spacing w:after="0"/>
            </w:pPr>
            <w:r>
              <w:rPr>
                <w:rFonts w:ascii="宋体" w:hAnsi="宋体" w:eastAsia="宋体" w:cs="宋体"/>
                <w:sz w:val="20"/>
                <w:szCs w:val="20"/>
              </w:rPr>
              <w:t>浏览器端VR/AR</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68EF08">
            <w:pPr>
              <w:spacing w:after="0"/>
            </w:pPr>
            <w:r>
              <w:rPr>
                <w:rFonts w:ascii="宋体" w:hAnsi="宋体" w:eastAsia="宋体" w:cs="宋体"/>
                <w:sz w:val="20"/>
                <w:szCs w:val="20"/>
              </w:rPr>
              <w:t>开放标准</w:t>
            </w:r>
          </w:p>
        </w:tc>
      </w:tr>
      <w:tr w14:paraId="73779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A20B61">
            <w:pPr>
              <w:spacing w:after="0"/>
            </w:pPr>
            <w:r>
              <w:rPr>
                <w:rFonts w:ascii="宋体" w:hAnsi="宋体" w:eastAsia="宋体" w:cs="宋体"/>
                <w:sz w:val="20"/>
                <w:szCs w:val="20"/>
              </w:rPr>
              <w:t>8th Wall</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2CE97E">
            <w:pPr>
              <w:spacing w:after="0"/>
            </w:pPr>
            <w:r>
              <w:rPr>
                <w:rFonts w:ascii="宋体" w:hAnsi="宋体" w:eastAsia="宋体" w:cs="宋体"/>
                <w:sz w:val="20"/>
                <w:szCs w:val="20"/>
              </w:rPr>
              <w:t>AR开发平台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880AE8C">
            <w:pPr>
              <w:spacing w:after="0"/>
            </w:pPr>
            <w:r>
              <w:rPr>
                <w:rFonts w:ascii="宋体" w:hAnsi="宋体" w:eastAsia="宋体" w:cs="宋体"/>
                <w:sz w:val="20"/>
                <w:szCs w:val="20"/>
              </w:rPr>
              <w:t>WebAR体验</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D01477">
            <w:pPr>
              <w:spacing w:after="0"/>
            </w:pPr>
            <w:r>
              <w:rPr>
                <w:rFonts w:ascii="宋体" w:hAnsi="宋体" w:eastAsia="宋体" w:cs="宋体"/>
                <w:sz w:val="20"/>
                <w:szCs w:val="20"/>
              </w:rPr>
              <w:t>商业许可</w:t>
            </w:r>
          </w:p>
        </w:tc>
      </w:tr>
      <w:tr w14:paraId="08286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453D8A">
            <w:pPr>
              <w:spacing w:after="0"/>
            </w:pPr>
            <w:r>
              <w:rPr>
                <w:rFonts w:ascii="宋体" w:hAnsi="宋体" w:eastAsia="宋体" w:cs="宋体"/>
                <w:sz w:val="20"/>
                <w:szCs w:val="20"/>
              </w:rPr>
              <w:t>Vuforia</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9504CC">
            <w:pPr>
              <w:spacing w:after="0"/>
            </w:pPr>
            <w:r>
              <w:rPr>
                <w:rFonts w:ascii="宋体" w:hAnsi="宋体" w:eastAsia="宋体" w:cs="宋体"/>
                <w:sz w:val="20"/>
                <w:szCs w:val="20"/>
              </w:rPr>
              <w:t>AR开发平台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6B42BD">
            <w:pPr>
              <w:spacing w:after="0"/>
            </w:pPr>
            <w:r>
              <w:rPr>
                <w:rFonts w:ascii="宋体" w:hAnsi="宋体" w:eastAsia="宋体" w:cs="宋体"/>
                <w:sz w:val="20"/>
                <w:szCs w:val="20"/>
              </w:rPr>
              <w:t>移动端AR应用</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8D02F1">
            <w:pPr>
              <w:spacing w:after="0"/>
            </w:pPr>
            <w:r>
              <w:rPr>
                <w:rFonts w:ascii="宋体" w:hAnsi="宋体" w:eastAsia="宋体" w:cs="宋体"/>
                <w:sz w:val="20"/>
                <w:szCs w:val="20"/>
              </w:rPr>
              <w:t>商业许可（有免费版）</w:t>
            </w:r>
          </w:p>
        </w:tc>
      </w:tr>
    </w:tbl>
    <w:p w14:paraId="4803EE1A">
      <w:pPr>
        <w:pStyle w:val="3"/>
        <w:spacing w:before="300" w:after="200"/>
      </w:pPr>
      <w:bookmarkStart w:id="385" w:name="_Toc17189"/>
      <w:r>
        <w:rPr>
          <w:rFonts w:ascii="黑体" w:hAnsi="黑体" w:eastAsia="黑体" w:cs="黑体"/>
          <w:b/>
          <w:bCs/>
          <w:color w:val="000000"/>
          <w:sz w:val="28"/>
          <w:szCs w:val="28"/>
        </w:rPr>
        <w:t>D.8 AI工具</w:t>
      </w:r>
      <w:bookmarkEnd w:id="38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03D37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621EBFD">
            <w:pPr>
              <w:spacing w:after="0"/>
            </w:pPr>
            <w:r>
              <w:rPr>
                <w:rFonts w:ascii="宋体" w:hAnsi="宋体" w:eastAsia="宋体" w:cs="宋体"/>
                <w:b/>
                <w:bCs/>
                <w:color w:val="FFFFFF"/>
                <w:sz w:val="20"/>
                <w:szCs w:val="20"/>
              </w:rPr>
              <w:t>工具名称</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C16A469">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D48D046">
            <w:pPr>
              <w:spacing w:after="0"/>
            </w:pPr>
            <w:r>
              <w:rPr>
                <w:rFonts w:ascii="宋体" w:hAnsi="宋体" w:eastAsia="宋体" w:cs="宋体"/>
                <w:b/>
                <w:bCs/>
                <w:color w:val="FFFFFF"/>
                <w:sz w:val="20"/>
                <w:szCs w:val="20"/>
              </w:rPr>
              <w:t>适用场景</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27556C0">
            <w:pPr>
              <w:spacing w:after="0"/>
            </w:pPr>
            <w:r>
              <w:rPr>
                <w:rFonts w:ascii="宋体" w:hAnsi="宋体" w:eastAsia="宋体" w:cs="宋体"/>
                <w:b/>
                <w:bCs/>
                <w:color w:val="FFFFFF"/>
                <w:sz w:val="20"/>
                <w:szCs w:val="20"/>
              </w:rPr>
              <w:t>许可方式</w:t>
            </w:r>
          </w:p>
        </w:tc>
      </w:tr>
      <w:tr w14:paraId="4CAA4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F80569">
            <w:pPr>
              <w:spacing w:after="0"/>
            </w:pPr>
            <w:r>
              <w:rPr>
                <w:rFonts w:ascii="宋体" w:hAnsi="宋体" w:eastAsia="宋体" w:cs="宋体"/>
                <w:sz w:val="20"/>
                <w:szCs w:val="20"/>
              </w:rPr>
              <w:t>Stable Diffusion</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EB5FAF">
            <w:pPr>
              <w:spacing w:after="0"/>
            </w:pPr>
            <w:r>
              <w:rPr>
                <w:rFonts w:ascii="宋体" w:hAnsi="宋体" w:eastAsia="宋体" w:cs="宋体"/>
                <w:sz w:val="20"/>
                <w:szCs w:val="20"/>
              </w:rPr>
              <w:t>图像生成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36324A">
            <w:pPr>
              <w:spacing w:after="0"/>
            </w:pPr>
            <w:r>
              <w:rPr>
                <w:rFonts w:ascii="宋体" w:hAnsi="宋体" w:eastAsia="宋体" w:cs="宋体"/>
                <w:sz w:val="20"/>
                <w:szCs w:val="20"/>
              </w:rPr>
              <w:t>文创设计、风格化图像生成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213769">
            <w:pPr>
              <w:spacing w:after="0"/>
            </w:pPr>
            <w:r>
              <w:rPr>
                <w:rFonts w:ascii="宋体" w:hAnsi="宋体" w:eastAsia="宋体" w:cs="宋体"/>
                <w:sz w:val="20"/>
                <w:szCs w:val="20"/>
              </w:rPr>
              <w:t>开源免费</w:t>
            </w:r>
          </w:p>
        </w:tc>
      </w:tr>
      <w:tr w14:paraId="41A87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B293495">
            <w:pPr>
              <w:spacing w:after="0"/>
            </w:pPr>
            <w:r>
              <w:rPr>
                <w:rFonts w:ascii="宋体" w:hAnsi="宋体" w:eastAsia="宋体" w:cs="宋体"/>
                <w:sz w:val="20"/>
                <w:szCs w:val="20"/>
              </w:rPr>
              <w:t>Midjourney</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00FCFB">
            <w:pPr>
              <w:spacing w:after="0"/>
            </w:pPr>
            <w:r>
              <w:rPr>
                <w:rFonts w:ascii="宋体" w:hAnsi="宋体" w:eastAsia="宋体" w:cs="宋体"/>
                <w:sz w:val="20"/>
                <w:szCs w:val="20"/>
              </w:rPr>
              <w:t>图像生成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6AC7D2">
            <w:pPr>
              <w:spacing w:after="0"/>
            </w:pPr>
            <w:r>
              <w:rPr>
                <w:rFonts w:ascii="宋体" w:hAnsi="宋体" w:eastAsia="宋体" w:cs="宋体"/>
                <w:sz w:val="20"/>
                <w:szCs w:val="20"/>
              </w:rPr>
              <w:t>概念设计、风格化图像</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ADD9EC">
            <w:pPr>
              <w:spacing w:after="0"/>
            </w:pPr>
            <w:r>
              <w:rPr>
                <w:rFonts w:ascii="宋体" w:hAnsi="宋体" w:eastAsia="宋体" w:cs="宋体"/>
                <w:sz w:val="20"/>
                <w:szCs w:val="20"/>
              </w:rPr>
              <w:t>订阅制</w:t>
            </w:r>
          </w:p>
        </w:tc>
      </w:tr>
      <w:tr w14:paraId="31E94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AB74DB">
            <w:pPr>
              <w:spacing w:after="0"/>
            </w:pPr>
            <w:r>
              <w:rPr>
                <w:rFonts w:ascii="宋体" w:hAnsi="宋体" w:eastAsia="宋体" w:cs="宋体"/>
                <w:sz w:val="20"/>
                <w:szCs w:val="20"/>
              </w:rPr>
              <w:t>DALL-E 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7ECFDC2">
            <w:pPr>
              <w:spacing w:after="0"/>
            </w:pPr>
            <w:r>
              <w:rPr>
                <w:rFonts w:ascii="宋体" w:hAnsi="宋体" w:eastAsia="宋体" w:cs="宋体"/>
                <w:sz w:val="20"/>
                <w:szCs w:val="20"/>
              </w:rPr>
              <w:t>图像生成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16C4CE">
            <w:pPr>
              <w:spacing w:after="0"/>
            </w:pPr>
            <w:r>
              <w:rPr>
                <w:rFonts w:ascii="宋体" w:hAnsi="宋体" w:eastAsia="宋体" w:cs="宋体"/>
                <w:sz w:val="20"/>
                <w:szCs w:val="20"/>
              </w:rPr>
              <w:t>创意图像生成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F97786">
            <w:pPr>
              <w:spacing w:after="0"/>
            </w:pPr>
            <w:r>
              <w:rPr>
                <w:rFonts w:ascii="宋体" w:hAnsi="宋体" w:eastAsia="宋体" w:cs="宋体"/>
                <w:sz w:val="20"/>
                <w:szCs w:val="20"/>
              </w:rPr>
              <w:t>订阅制</w:t>
            </w:r>
          </w:p>
        </w:tc>
      </w:tr>
      <w:tr w14:paraId="395CA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38D416">
            <w:pPr>
              <w:spacing w:after="0"/>
            </w:pPr>
            <w:r>
              <w:rPr>
                <w:rFonts w:ascii="宋体" w:hAnsi="宋体" w:eastAsia="宋体" w:cs="宋体"/>
                <w:sz w:val="20"/>
                <w:szCs w:val="20"/>
              </w:rPr>
              <w:t>Runway</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BE0E440">
            <w:pPr>
              <w:spacing w:after="0"/>
            </w:pPr>
            <w:r>
              <w:rPr>
                <w:rFonts w:ascii="宋体" w:hAnsi="宋体" w:eastAsia="宋体" w:cs="宋体"/>
                <w:sz w:val="20"/>
                <w:szCs w:val="20"/>
              </w:rPr>
              <w:t>AI视频工具</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9CB495">
            <w:pPr>
              <w:spacing w:after="0"/>
            </w:pPr>
            <w:r>
              <w:rPr>
                <w:rFonts w:ascii="宋体" w:hAnsi="宋体" w:eastAsia="宋体" w:cs="宋体"/>
                <w:sz w:val="20"/>
                <w:szCs w:val="20"/>
              </w:rPr>
              <w:t>视频编辑、特效生成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6EDCD85">
            <w:pPr>
              <w:spacing w:after="0"/>
            </w:pPr>
            <w:r>
              <w:rPr>
                <w:rFonts w:ascii="宋体" w:hAnsi="宋体" w:eastAsia="宋体" w:cs="宋体"/>
                <w:sz w:val="20"/>
                <w:szCs w:val="20"/>
              </w:rPr>
              <w:t>订阅制（有免费版）</w:t>
            </w:r>
          </w:p>
        </w:tc>
      </w:tr>
      <w:tr w14:paraId="7A700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CFA347">
            <w:pPr>
              <w:spacing w:after="0"/>
            </w:pPr>
            <w:r>
              <w:rPr>
                <w:rFonts w:ascii="宋体" w:hAnsi="宋体" w:eastAsia="宋体" w:cs="宋体"/>
                <w:sz w:val="20"/>
                <w:szCs w:val="20"/>
              </w:rPr>
              <w:t>OpenAI Whisper</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C67BC7">
            <w:pPr>
              <w:spacing w:after="0"/>
            </w:pPr>
            <w:r>
              <w:rPr>
                <w:rFonts w:ascii="宋体" w:hAnsi="宋体" w:eastAsia="宋体" w:cs="宋体"/>
                <w:sz w:val="20"/>
                <w:szCs w:val="20"/>
              </w:rPr>
              <w:t>语音识别</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542FB0">
            <w:pPr>
              <w:spacing w:after="0"/>
            </w:pPr>
            <w:r>
              <w:rPr>
                <w:rFonts w:ascii="宋体" w:hAnsi="宋体" w:eastAsia="宋体" w:cs="宋体"/>
                <w:sz w:val="20"/>
                <w:szCs w:val="20"/>
              </w:rPr>
              <w:t>口述史录音转文字</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702F131">
            <w:pPr>
              <w:spacing w:after="0"/>
            </w:pPr>
            <w:r>
              <w:rPr>
                <w:rFonts w:ascii="宋体" w:hAnsi="宋体" w:eastAsia="宋体" w:cs="宋体"/>
                <w:sz w:val="20"/>
                <w:szCs w:val="20"/>
              </w:rPr>
              <w:t>开源免费</w:t>
            </w:r>
          </w:p>
        </w:tc>
      </w:tr>
      <w:tr w14:paraId="437EF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B94D1A">
            <w:pPr>
              <w:spacing w:after="0"/>
            </w:pPr>
            <w:r>
              <w:rPr>
                <w:rFonts w:ascii="宋体" w:hAnsi="宋体" w:eastAsia="宋体" w:cs="宋体"/>
                <w:sz w:val="20"/>
                <w:szCs w:val="20"/>
              </w:rPr>
              <w:t>Label Studio</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F9048F">
            <w:pPr>
              <w:spacing w:after="0"/>
            </w:pPr>
            <w:r>
              <w:rPr>
                <w:rFonts w:ascii="宋体" w:hAnsi="宋体" w:eastAsia="宋体" w:cs="宋体"/>
                <w:sz w:val="20"/>
                <w:szCs w:val="20"/>
              </w:rPr>
              <w:t>数据标注</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91C5ED">
            <w:pPr>
              <w:spacing w:after="0"/>
            </w:pPr>
            <w:r>
              <w:rPr>
                <w:rFonts w:ascii="宋体" w:hAnsi="宋体" w:eastAsia="宋体" w:cs="宋体"/>
                <w:sz w:val="20"/>
                <w:szCs w:val="20"/>
              </w:rPr>
              <w:t>训练数据标注</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6535D1">
            <w:pPr>
              <w:spacing w:after="0"/>
            </w:pPr>
            <w:r>
              <w:rPr>
                <w:rFonts w:ascii="宋体" w:hAnsi="宋体" w:eastAsia="宋体" w:cs="宋体"/>
                <w:sz w:val="20"/>
                <w:szCs w:val="20"/>
              </w:rPr>
              <w:t>开源免费</w:t>
            </w:r>
          </w:p>
        </w:tc>
      </w:tr>
    </w:tbl>
    <w:p w14:paraId="4B6F063F">
      <w:pPr>
        <w:pStyle w:val="3"/>
        <w:spacing w:before="300" w:after="200"/>
      </w:pPr>
      <w:bookmarkStart w:id="386" w:name="_Toc5304"/>
      <w:r>
        <w:rPr>
          <w:rFonts w:ascii="黑体" w:hAnsi="黑体" w:eastAsia="黑体" w:cs="黑体"/>
          <w:b/>
          <w:bCs/>
          <w:color w:val="000000"/>
          <w:sz w:val="28"/>
          <w:szCs w:val="28"/>
        </w:rPr>
        <w:t>D.9 数字资产管理平台</w:t>
      </w:r>
      <w:bookmarkEnd w:id="386"/>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04F0A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05E4681">
            <w:pPr>
              <w:spacing w:after="0"/>
            </w:pPr>
            <w:r>
              <w:rPr>
                <w:rFonts w:ascii="宋体" w:hAnsi="宋体" w:eastAsia="宋体" w:cs="宋体"/>
                <w:b/>
                <w:bCs/>
                <w:color w:val="FFFFFF"/>
                <w:sz w:val="20"/>
                <w:szCs w:val="20"/>
              </w:rPr>
              <w:t>平台名称</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67B327A">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15C41A9">
            <w:pPr>
              <w:spacing w:after="0"/>
            </w:pPr>
            <w:r>
              <w:rPr>
                <w:rFonts w:ascii="宋体" w:hAnsi="宋体" w:eastAsia="宋体" w:cs="宋体"/>
                <w:b/>
                <w:bCs/>
                <w:color w:val="FFFFFF"/>
                <w:sz w:val="20"/>
                <w:szCs w:val="20"/>
              </w:rPr>
              <w:t>主要功能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7F3A0E5">
            <w:pPr>
              <w:spacing w:after="0"/>
            </w:pPr>
            <w:r>
              <w:rPr>
                <w:rFonts w:ascii="宋体" w:hAnsi="宋体" w:eastAsia="宋体" w:cs="宋体"/>
                <w:b/>
                <w:bCs/>
                <w:color w:val="FFFFFF"/>
                <w:sz w:val="20"/>
                <w:szCs w:val="20"/>
              </w:rPr>
              <w:t>许可方式</w:t>
            </w:r>
          </w:p>
        </w:tc>
      </w:tr>
      <w:tr w14:paraId="1ABC1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3AAC4A">
            <w:pPr>
              <w:spacing w:after="0"/>
            </w:pPr>
            <w:r>
              <w:rPr>
                <w:rFonts w:ascii="宋体" w:hAnsi="宋体" w:eastAsia="宋体" w:cs="宋体"/>
                <w:sz w:val="20"/>
                <w:szCs w:val="20"/>
              </w:rPr>
              <w:t>Omeka S</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EBB71F">
            <w:pPr>
              <w:spacing w:after="0"/>
            </w:pPr>
            <w:r>
              <w:rPr>
                <w:rFonts w:ascii="宋体" w:hAnsi="宋体" w:eastAsia="宋体" w:cs="宋体"/>
                <w:sz w:val="20"/>
                <w:szCs w:val="20"/>
              </w:rPr>
              <w:t>数字资产管理系统</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E72B1D">
            <w:pPr>
              <w:spacing w:after="0"/>
            </w:pPr>
            <w:r>
              <w:rPr>
                <w:rFonts w:ascii="宋体" w:hAnsi="宋体" w:eastAsia="宋体" w:cs="宋体"/>
                <w:sz w:val="20"/>
                <w:szCs w:val="20"/>
              </w:rPr>
              <w:t>文化遗产数字资源管理与发布</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D3A2C0">
            <w:pPr>
              <w:spacing w:after="0"/>
            </w:pPr>
            <w:r>
              <w:rPr>
                <w:rFonts w:ascii="宋体" w:hAnsi="宋体" w:eastAsia="宋体" w:cs="宋体"/>
                <w:sz w:val="20"/>
                <w:szCs w:val="20"/>
              </w:rPr>
              <w:t>开源免费</w:t>
            </w:r>
          </w:p>
        </w:tc>
      </w:tr>
      <w:tr w14:paraId="2143B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C1BF7F">
            <w:pPr>
              <w:spacing w:after="0"/>
            </w:pPr>
            <w:r>
              <w:rPr>
                <w:rFonts w:ascii="宋体" w:hAnsi="宋体" w:eastAsia="宋体" w:cs="宋体"/>
                <w:sz w:val="20"/>
                <w:szCs w:val="20"/>
              </w:rPr>
              <w:t>DSpace</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B9EFA4">
            <w:pPr>
              <w:spacing w:after="0"/>
            </w:pPr>
            <w:r>
              <w:rPr>
                <w:rFonts w:ascii="宋体" w:hAnsi="宋体" w:eastAsia="宋体" w:cs="宋体"/>
                <w:sz w:val="20"/>
                <w:szCs w:val="20"/>
              </w:rPr>
              <w:t>机构知识库</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1C695D7">
            <w:pPr>
              <w:spacing w:after="0"/>
            </w:pPr>
            <w:r>
              <w:rPr>
                <w:rFonts w:ascii="宋体" w:hAnsi="宋体" w:eastAsia="宋体" w:cs="宋体"/>
                <w:sz w:val="20"/>
                <w:szCs w:val="20"/>
              </w:rPr>
              <w:t>数字资源长期保存与访问</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E3C65F">
            <w:pPr>
              <w:spacing w:after="0"/>
            </w:pPr>
            <w:r>
              <w:rPr>
                <w:rFonts w:ascii="宋体" w:hAnsi="宋体" w:eastAsia="宋体" w:cs="宋体"/>
                <w:sz w:val="20"/>
                <w:szCs w:val="20"/>
              </w:rPr>
              <w:t>开源免费</w:t>
            </w:r>
          </w:p>
        </w:tc>
      </w:tr>
      <w:tr w14:paraId="7757B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A1A03E4">
            <w:pPr>
              <w:spacing w:after="0"/>
            </w:pPr>
            <w:r>
              <w:rPr>
                <w:rFonts w:ascii="宋体" w:hAnsi="宋体" w:eastAsia="宋体" w:cs="宋体"/>
                <w:sz w:val="20"/>
                <w:szCs w:val="20"/>
              </w:rPr>
              <w:t>Tainacan</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832584">
            <w:pPr>
              <w:spacing w:after="0"/>
            </w:pPr>
            <w:r>
              <w:rPr>
                <w:rFonts w:ascii="宋体" w:hAnsi="宋体" w:eastAsia="宋体" w:cs="宋体"/>
                <w:sz w:val="20"/>
                <w:szCs w:val="20"/>
              </w:rPr>
              <w:t>数字藏品管理</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BF280E">
            <w:pPr>
              <w:spacing w:after="0"/>
            </w:pPr>
            <w:r>
              <w:rPr>
                <w:rFonts w:ascii="宋体" w:hAnsi="宋体" w:eastAsia="宋体" w:cs="宋体"/>
                <w:sz w:val="20"/>
                <w:szCs w:val="20"/>
              </w:rPr>
              <w:t>博物馆数字藏品管理</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706E26">
            <w:pPr>
              <w:spacing w:after="0"/>
            </w:pPr>
            <w:r>
              <w:rPr>
                <w:rFonts w:ascii="宋体" w:hAnsi="宋体" w:eastAsia="宋体" w:cs="宋体"/>
                <w:sz w:val="20"/>
                <w:szCs w:val="20"/>
              </w:rPr>
              <w:t>开源免费（WordPress插件）</w:t>
            </w:r>
          </w:p>
        </w:tc>
      </w:tr>
    </w:tbl>
    <w:p w14:paraId="5AC70583">
      <w:pPr>
        <w:pStyle w:val="3"/>
        <w:spacing w:before="300" w:after="200"/>
      </w:pPr>
      <w:bookmarkStart w:id="387" w:name="_Toc4026"/>
      <w:r>
        <w:rPr>
          <w:rFonts w:ascii="黑体" w:hAnsi="黑体" w:eastAsia="黑体" w:cs="黑体"/>
          <w:b/>
          <w:bCs/>
          <w:color w:val="000000"/>
          <w:sz w:val="28"/>
          <w:szCs w:val="28"/>
        </w:rPr>
        <w:t>D.10 推荐学习路径</w:t>
      </w:r>
      <w:bookmarkEnd w:id="387"/>
    </w:p>
    <w:p w14:paraId="08C6D7BE">
      <w:pPr>
        <w:pStyle w:val="4"/>
        <w:spacing w:before="300" w:after="200"/>
      </w:pPr>
      <w:bookmarkStart w:id="388" w:name="_Toc21614"/>
      <w:r>
        <w:rPr>
          <w:rFonts w:ascii="黑体" w:hAnsi="黑体" w:eastAsia="黑体" w:cs="黑体"/>
          <w:b/>
          <w:bCs/>
          <w:color w:val="000000"/>
          <w:sz w:val="26"/>
          <w:szCs w:val="26"/>
        </w:rPr>
        <w:t>初学者（本科低年级）</w:t>
      </w:r>
      <w:bookmarkEnd w:id="388"/>
    </w:p>
    <w:p w14:paraId="75DB60F5">
      <w:pPr>
        <w:pStyle w:val="19"/>
        <w:numPr>
          <w:ilvl w:val="0"/>
          <w:numId w:val="2"/>
        </w:numPr>
        <w:spacing w:after="60" w:line="340" w:lineRule="auto"/>
      </w:pPr>
      <w:r>
        <w:rPr>
          <w:rFonts w:ascii="宋体" w:hAnsi="宋体" w:eastAsia="宋体" w:cs="宋体"/>
          <w:sz w:val="24"/>
          <w:szCs w:val="24"/>
        </w:rPr>
        <w:t>SketchUp或Blender → 掌握基本三维建模</w:t>
      </w:r>
    </w:p>
    <w:p w14:paraId="5A3EE33B">
      <w:pPr>
        <w:pStyle w:val="19"/>
        <w:numPr>
          <w:ilvl w:val="0"/>
          <w:numId w:val="2"/>
        </w:numPr>
        <w:spacing w:after="60" w:line="340" w:lineRule="auto"/>
      </w:pPr>
      <w:r>
        <w:rPr>
          <w:rFonts w:ascii="宋体" w:hAnsi="宋体" w:eastAsia="宋体" w:cs="宋体"/>
          <w:sz w:val="24"/>
          <w:szCs w:val="24"/>
        </w:rPr>
        <w:t>CloudCompare → 了解点云处理基础</w:t>
      </w:r>
    </w:p>
    <w:p w14:paraId="3D42B754">
      <w:pPr>
        <w:pStyle w:val="19"/>
        <w:numPr>
          <w:ilvl w:val="0"/>
          <w:numId w:val="2"/>
        </w:numPr>
        <w:spacing w:after="60" w:line="340" w:lineRule="auto"/>
      </w:pPr>
      <w:r>
        <w:rPr>
          <w:rFonts w:ascii="宋体" w:hAnsi="宋体" w:eastAsia="宋体" w:cs="宋体"/>
          <w:sz w:val="24"/>
          <w:szCs w:val="24"/>
        </w:rPr>
        <w:t>QGIS → 掌握基本空间分析</w:t>
      </w:r>
    </w:p>
    <w:p w14:paraId="7B94661C">
      <w:pPr>
        <w:pStyle w:val="19"/>
        <w:numPr>
          <w:ilvl w:val="0"/>
          <w:numId w:val="2"/>
        </w:numPr>
        <w:spacing w:after="60" w:line="340" w:lineRule="auto"/>
      </w:pPr>
      <w:r>
        <w:rPr>
          <w:rFonts w:ascii="宋体" w:hAnsi="宋体" w:eastAsia="宋体" w:cs="宋体"/>
          <w:sz w:val="24"/>
          <w:szCs w:val="24"/>
        </w:rPr>
        <w:t>Neo4j → 了解图数据库和知识图谱</w:t>
      </w:r>
    </w:p>
    <w:p w14:paraId="466454E7">
      <w:pPr>
        <w:pStyle w:val="4"/>
        <w:spacing w:before="300" w:after="200"/>
      </w:pPr>
      <w:bookmarkStart w:id="389" w:name="_Toc5715"/>
      <w:r>
        <w:rPr>
          <w:rFonts w:ascii="黑体" w:hAnsi="黑体" w:eastAsia="黑体" w:cs="黑体"/>
          <w:b/>
          <w:bCs/>
          <w:color w:val="000000"/>
          <w:sz w:val="26"/>
          <w:szCs w:val="26"/>
        </w:rPr>
        <w:t>进阶者（本科高年级/研究生）</w:t>
      </w:r>
      <w:bookmarkEnd w:id="389"/>
    </w:p>
    <w:p w14:paraId="390127CD">
      <w:pPr>
        <w:pStyle w:val="19"/>
        <w:numPr>
          <w:ilvl w:val="0"/>
          <w:numId w:val="2"/>
        </w:numPr>
        <w:spacing w:after="60" w:line="340" w:lineRule="auto"/>
      </w:pPr>
      <w:r>
        <w:rPr>
          <w:rFonts w:ascii="宋体" w:hAnsi="宋体" w:eastAsia="宋体" w:cs="宋体"/>
          <w:sz w:val="24"/>
          <w:szCs w:val="24"/>
        </w:rPr>
        <w:t>Agisoft Metashape → 掌握摄影测量全流程</w:t>
      </w:r>
    </w:p>
    <w:p w14:paraId="5D4D9E39">
      <w:pPr>
        <w:pStyle w:val="19"/>
        <w:numPr>
          <w:ilvl w:val="0"/>
          <w:numId w:val="2"/>
        </w:numPr>
        <w:spacing w:after="60" w:line="340" w:lineRule="auto"/>
      </w:pPr>
      <w:r>
        <w:rPr>
          <w:rFonts w:ascii="宋体" w:hAnsi="宋体" w:eastAsia="宋体" w:cs="宋体"/>
          <w:sz w:val="24"/>
          <w:szCs w:val="24"/>
        </w:rPr>
        <w:t>Autodesk Revit → 掌握HBIM建模</w:t>
      </w:r>
    </w:p>
    <w:p w14:paraId="232D6628">
      <w:pPr>
        <w:pStyle w:val="19"/>
        <w:numPr>
          <w:ilvl w:val="0"/>
          <w:numId w:val="2"/>
        </w:numPr>
        <w:spacing w:after="60" w:line="340" w:lineRule="auto"/>
      </w:pPr>
      <w:r>
        <w:rPr>
          <w:rFonts w:ascii="宋体" w:hAnsi="宋体" w:eastAsia="宋体" w:cs="宋体"/>
          <w:sz w:val="24"/>
          <w:szCs w:val="24"/>
        </w:rPr>
        <w:t>Unity或Unreal → 开发VR/AR应用</w:t>
      </w:r>
    </w:p>
    <w:p w14:paraId="7843F2BB">
      <w:pPr>
        <w:pStyle w:val="19"/>
        <w:numPr>
          <w:ilvl w:val="0"/>
          <w:numId w:val="2"/>
        </w:numPr>
        <w:spacing w:after="60" w:line="340" w:lineRule="auto"/>
      </w:pPr>
      <w:r>
        <w:rPr>
          <w:rFonts w:ascii="宋体" w:hAnsi="宋体" w:eastAsia="宋体" w:cs="宋体"/>
          <w:sz w:val="24"/>
          <w:szCs w:val="24"/>
        </w:rPr>
        <w:t>Protégé + Apache Jena → 知识图谱构建</w:t>
      </w:r>
    </w:p>
    <w:p w14:paraId="3E557357">
      <w:pPr>
        <w:pStyle w:val="4"/>
        <w:spacing w:before="300" w:after="200"/>
      </w:pPr>
      <w:bookmarkStart w:id="390" w:name="_Toc19732"/>
      <w:r>
        <w:rPr>
          <w:rFonts w:ascii="黑体" w:hAnsi="黑体" w:eastAsia="黑体" w:cs="黑体"/>
          <w:b/>
          <w:bCs/>
          <w:color w:val="000000"/>
          <w:sz w:val="26"/>
          <w:szCs w:val="26"/>
        </w:rPr>
        <w:t>专业者（研究人员/从业者）</w:t>
      </w:r>
      <w:bookmarkEnd w:id="390"/>
    </w:p>
    <w:p w14:paraId="718BADBA">
      <w:pPr>
        <w:pStyle w:val="19"/>
        <w:numPr>
          <w:ilvl w:val="0"/>
          <w:numId w:val="2"/>
        </w:numPr>
        <w:spacing w:after="60" w:line="340" w:lineRule="auto"/>
      </w:pPr>
      <w:r>
        <w:rPr>
          <w:rFonts w:ascii="宋体" w:hAnsi="宋体" w:eastAsia="宋体" w:cs="宋体"/>
          <w:sz w:val="24"/>
          <w:szCs w:val="24"/>
        </w:rPr>
        <w:t>FARO SCENE或Leica Cyclone → 激光扫描数据处理</w:t>
      </w:r>
    </w:p>
    <w:p w14:paraId="407882B7">
      <w:pPr>
        <w:pStyle w:val="19"/>
        <w:numPr>
          <w:ilvl w:val="0"/>
          <w:numId w:val="2"/>
        </w:numPr>
        <w:spacing w:after="60" w:line="340" w:lineRule="auto"/>
      </w:pPr>
      <w:r>
        <w:rPr>
          <w:rFonts w:ascii="宋体" w:hAnsi="宋体" w:eastAsia="宋体" w:cs="宋体"/>
          <w:sz w:val="24"/>
          <w:szCs w:val="24"/>
        </w:rPr>
        <w:t>ArcGIS Pro → 高级空间分析</w:t>
      </w:r>
    </w:p>
    <w:p w14:paraId="7DF6081D">
      <w:pPr>
        <w:pStyle w:val="19"/>
        <w:numPr>
          <w:ilvl w:val="0"/>
          <w:numId w:val="2"/>
        </w:numPr>
        <w:spacing w:after="60" w:line="340" w:lineRule="auto"/>
      </w:pPr>
      <w:r>
        <w:rPr>
          <w:rFonts w:ascii="宋体" w:hAnsi="宋体" w:eastAsia="宋体" w:cs="宋体"/>
          <w:sz w:val="24"/>
          <w:szCs w:val="24"/>
        </w:rPr>
        <w:t>Stable Diffusion + 自训练模型 → AI文创开发</w:t>
      </w:r>
    </w:p>
    <w:p w14:paraId="181A3AD4">
      <w:pPr>
        <w:pStyle w:val="19"/>
        <w:numPr>
          <w:ilvl w:val="0"/>
          <w:numId w:val="2"/>
        </w:numPr>
        <w:spacing w:after="60" w:line="340" w:lineRule="auto"/>
      </w:pPr>
      <w:r>
        <w:rPr>
          <w:rFonts w:ascii="宋体" w:hAnsi="宋体" w:eastAsia="宋体" w:cs="宋体"/>
          <w:sz w:val="24"/>
          <w:szCs w:val="24"/>
        </w:rPr>
        <w:t>Omeka S → 数字资产管理平台搭建</w:t>
      </w:r>
    </w:p>
    <w:p w14:paraId="36C73C1D">
      <w:r>
        <w:br w:type="page"/>
      </w:r>
    </w:p>
    <w:p w14:paraId="47B66444">
      <w:pPr>
        <w:pStyle w:val="2"/>
        <w:spacing w:before="400" w:after="200"/>
      </w:pPr>
      <w:bookmarkStart w:id="391" w:name="_Toc28212"/>
      <w:r>
        <w:rPr>
          <w:rFonts w:ascii="黑体" w:hAnsi="黑体" w:eastAsia="黑体" w:cs="黑体"/>
          <w:b/>
          <w:bCs/>
          <w:color w:val="1F4E79"/>
          <w:sz w:val="32"/>
          <w:szCs w:val="32"/>
        </w:rPr>
        <w:t>附录E 课程教学大纲与实验方案</w:t>
      </w:r>
      <w:bookmarkEnd w:id="391"/>
    </w:p>
    <w:p w14:paraId="410C8616">
      <w:pPr>
        <w:pStyle w:val="3"/>
        <w:spacing w:before="300" w:after="200"/>
      </w:pPr>
      <w:bookmarkStart w:id="392" w:name="_Toc19099"/>
      <w:r>
        <w:rPr>
          <w:rFonts w:ascii="黑体" w:hAnsi="黑体" w:eastAsia="黑体" w:cs="黑体"/>
          <w:b/>
          <w:bCs/>
          <w:color w:val="000000"/>
          <w:sz w:val="28"/>
          <w:szCs w:val="28"/>
        </w:rPr>
        <w:t>E.1 课程基本信息</w:t>
      </w:r>
      <w:bookmarkEnd w:id="39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03823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609DD03">
            <w:pPr>
              <w:spacing w:after="0"/>
            </w:pPr>
            <w:r>
              <w:rPr>
                <w:rFonts w:ascii="宋体" w:hAnsi="宋体" w:eastAsia="宋体" w:cs="宋体"/>
                <w:b/>
                <w:bCs/>
                <w:color w:val="FFFFFF"/>
                <w:sz w:val="20"/>
                <w:szCs w:val="20"/>
              </w:rPr>
              <w:t>项目</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0DAEA49">
            <w:pPr>
              <w:spacing w:after="0"/>
            </w:pPr>
            <w:r>
              <w:rPr>
                <w:rFonts w:ascii="宋体" w:hAnsi="宋体" w:eastAsia="宋体" w:cs="宋体"/>
                <w:b/>
                <w:bCs/>
                <w:color w:val="FFFFFF"/>
                <w:sz w:val="20"/>
                <w:szCs w:val="20"/>
              </w:rPr>
              <w:t>内容</w:t>
            </w:r>
          </w:p>
        </w:tc>
      </w:tr>
      <w:tr w14:paraId="04932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15ACAD">
            <w:pPr>
              <w:spacing w:after="0"/>
            </w:pPr>
            <w:r>
              <w:rPr>
                <w:rFonts w:ascii="宋体" w:hAnsi="宋体" w:eastAsia="宋体" w:cs="宋体"/>
                <w:sz w:val="20"/>
                <w:szCs w:val="20"/>
              </w:rPr>
              <w:t>课程名称</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6F385A">
            <w:pPr>
              <w:spacing w:after="0"/>
            </w:pPr>
            <w:r>
              <w:rPr>
                <w:rFonts w:ascii="宋体" w:hAnsi="宋体" w:eastAsia="宋体" w:cs="宋体"/>
                <w:sz w:val="20"/>
                <w:szCs w:val="20"/>
              </w:rPr>
              <w:t>屯堡文化数字化传承与旅游活化</w:t>
            </w:r>
          </w:p>
        </w:tc>
      </w:tr>
      <w:tr w14:paraId="0FBD9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EB62578">
            <w:pPr>
              <w:spacing w:after="0"/>
            </w:pPr>
            <w:r>
              <w:rPr>
                <w:rFonts w:ascii="宋体" w:hAnsi="宋体" w:eastAsia="宋体" w:cs="宋体"/>
                <w:sz w:val="20"/>
                <w:szCs w:val="20"/>
              </w:rPr>
              <w:t>课程性质</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CD0946">
            <w:pPr>
              <w:spacing w:after="0"/>
            </w:pPr>
            <w:r>
              <w:rPr>
                <w:rFonts w:ascii="宋体" w:hAnsi="宋体" w:eastAsia="宋体" w:cs="宋体"/>
                <w:sz w:val="20"/>
                <w:szCs w:val="20"/>
              </w:rPr>
              <w:t>数字文旅专业核心课程</w:t>
            </w:r>
          </w:p>
        </w:tc>
      </w:tr>
      <w:tr w14:paraId="3FDF0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8CA160">
            <w:pPr>
              <w:spacing w:after="0"/>
            </w:pPr>
            <w:r>
              <w:rPr>
                <w:rFonts w:ascii="宋体" w:hAnsi="宋体" w:eastAsia="宋体" w:cs="宋体"/>
                <w:sz w:val="20"/>
                <w:szCs w:val="20"/>
              </w:rPr>
              <w:t>适用对象</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227600">
            <w:pPr>
              <w:spacing w:after="0"/>
            </w:pPr>
            <w:r>
              <w:rPr>
                <w:rFonts w:ascii="宋体" w:hAnsi="宋体" w:eastAsia="宋体" w:cs="宋体"/>
                <w:sz w:val="20"/>
                <w:szCs w:val="20"/>
              </w:rPr>
              <w:t>数字文旅专业本科三/四年级学生</w:t>
            </w:r>
          </w:p>
        </w:tc>
      </w:tr>
      <w:tr w14:paraId="2DE53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EDFBAD">
            <w:pPr>
              <w:spacing w:after="0"/>
            </w:pPr>
            <w:r>
              <w:rPr>
                <w:rFonts w:ascii="宋体" w:hAnsi="宋体" w:eastAsia="宋体" w:cs="宋体"/>
                <w:sz w:val="20"/>
                <w:szCs w:val="20"/>
              </w:rPr>
              <w:t>先修课程</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D53873">
            <w:pPr>
              <w:spacing w:after="0"/>
            </w:pPr>
            <w:r>
              <w:rPr>
                <w:rFonts w:ascii="宋体" w:hAnsi="宋体" w:eastAsia="宋体" w:cs="宋体"/>
                <w:sz w:val="20"/>
                <w:szCs w:val="20"/>
              </w:rPr>
              <w:t>数字文旅概论、智慧旅游技术与应用、旅游大数据分析与决策</w:t>
            </w:r>
          </w:p>
        </w:tc>
      </w:tr>
      <w:tr w14:paraId="6C184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CB45B8">
            <w:pPr>
              <w:spacing w:after="0"/>
            </w:pPr>
            <w:r>
              <w:rPr>
                <w:rFonts w:ascii="宋体" w:hAnsi="宋体" w:eastAsia="宋体" w:cs="宋体"/>
                <w:sz w:val="20"/>
                <w:szCs w:val="20"/>
              </w:rPr>
              <w:t>总学时</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BF6EDA">
            <w:pPr>
              <w:spacing w:after="0"/>
            </w:pPr>
            <w:r>
              <w:rPr>
                <w:rFonts w:ascii="宋体" w:hAnsi="宋体" w:eastAsia="宋体" w:cs="宋体"/>
                <w:sz w:val="20"/>
                <w:szCs w:val="20"/>
              </w:rPr>
              <w:t>64学时（理论48学时+实验16学时）</w:t>
            </w:r>
          </w:p>
        </w:tc>
      </w:tr>
      <w:tr w14:paraId="02BF9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3AE474">
            <w:pPr>
              <w:spacing w:after="0"/>
            </w:pPr>
            <w:r>
              <w:rPr>
                <w:rFonts w:ascii="宋体" w:hAnsi="宋体" w:eastAsia="宋体" w:cs="宋体"/>
                <w:sz w:val="20"/>
                <w:szCs w:val="20"/>
              </w:rPr>
              <w:t>学分</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C9C3C7">
            <w:pPr>
              <w:spacing w:after="0"/>
            </w:pPr>
            <w:r>
              <w:rPr>
                <w:rFonts w:ascii="宋体" w:hAnsi="宋体" w:eastAsia="宋体" w:cs="宋体"/>
                <w:sz w:val="20"/>
                <w:szCs w:val="20"/>
              </w:rPr>
              <w:t>4学分</w:t>
            </w:r>
          </w:p>
        </w:tc>
      </w:tr>
    </w:tbl>
    <w:p w14:paraId="26CF4D9B">
      <w:pPr>
        <w:pStyle w:val="3"/>
        <w:spacing w:before="300" w:after="200"/>
      </w:pPr>
      <w:bookmarkStart w:id="393" w:name="_Toc1603"/>
      <w:r>
        <w:rPr>
          <w:rFonts w:ascii="黑体" w:hAnsi="黑体" w:eastAsia="黑体" w:cs="黑体"/>
          <w:b/>
          <w:bCs/>
          <w:color w:val="000000"/>
          <w:sz w:val="28"/>
          <w:szCs w:val="28"/>
        </w:rPr>
        <w:t>E.2 教学目标</w:t>
      </w:r>
      <w:bookmarkEnd w:id="393"/>
    </w:p>
    <w:p w14:paraId="20A3E407">
      <w:pPr>
        <w:spacing w:after="120" w:line="360" w:lineRule="auto"/>
        <w:jc w:val="both"/>
      </w:pPr>
      <w:r>
        <w:rPr>
          <w:rFonts w:ascii="宋体" w:hAnsi="宋体" w:eastAsia="宋体" w:cs="宋体"/>
          <w:b/>
          <w:bCs/>
          <w:sz w:val="24"/>
          <w:szCs w:val="24"/>
        </w:rPr>
        <w:t>知识目标。</w:t>
      </w:r>
    </w:p>
    <w:p w14:paraId="4DF4F143">
      <w:pPr>
        <w:pStyle w:val="19"/>
        <w:numPr>
          <w:ilvl w:val="0"/>
          <w:numId w:val="1"/>
        </w:numPr>
        <w:spacing w:after="60" w:line="340" w:lineRule="auto"/>
      </w:pPr>
      <w:r>
        <w:rPr>
          <w:rFonts w:ascii="宋体" w:hAnsi="宋体" w:eastAsia="宋体" w:cs="宋体"/>
          <w:sz w:val="24"/>
          <w:szCs w:val="24"/>
        </w:rPr>
        <w:t>系统掌握屯堡文化的历史背景、核心要素和当代价值</w:t>
      </w:r>
    </w:p>
    <w:p w14:paraId="6E537E30">
      <w:pPr>
        <w:pStyle w:val="19"/>
        <w:numPr>
          <w:ilvl w:val="0"/>
          <w:numId w:val="1"/>
        </w:numPr>
        <w:spacing w:after="60" w:line="340" w:lineRule="auto"/>
      </w:pPr>
      <w:r>
        <w:rPr>
          <w:rFonts w:ascii="宋体" w:hAnsi="宋体" w:eastAsia="宋体" w:cs="宋体"/>
          <w:sz w:val="24"/>
          <w:szCs w:val="24"/>
        </w:rPr>
        <w:t>理解文化遗产数字化的理论与技术体系</w:t>
      </w:r>
    </w:p>
    <w:p w14:paraId="20B9C8FA">
      <w:pPr>
        <w:pStyle w:val="19"/>
        <w:numPr>
          <w:ilvl w:val="0"/>
          <w:numId w:val="1"/>
        </w:numPr>
        <w:spacing w:after="60" w:line="340" w:lineRule="auto"/>
      </w:pPr>
      <w:r>
        <w:rPr>
          <w:rFonts w:ascii="宋体" w:hAnsi="宋体" w:eastAsia="宋体" w:cs="宋体"/>
          <w:sz w:val="24"/>
          <w:szCs w:val="24"/>
        </w:rPr>
        <w:t>掌握文化遗产旅游活化的模式与方法</w:t>
      </w:r>
    </w:p>
    <w:p w14:paraId="7EB64FEF">
      <w:pPr>
        <w:pStyle w:val="19"/>
        <w:numPr>
          <w:ilvl w:val="0"/>
          <w:numId w:val="1"/>
        </w:numPr>
        <w:spacing w:after="60" w:line="340" w:lineRule="auto"/>
      </w:pPr>
      <w:r>
        <w:rPr>
          <w:rFonts w:ascii="宋体" w:hAnsi="宋体" w:eastAsia="宋体" w:cs="宋体"/>
          <w:sz w:val="24"/>
          <w:szCs w:val="24"/>
        </w:rPr>
        <w:t>了解屯堡文化保护与发展的政策框架和典型案例</w:t>
      </w:r>
    </w:p>
    <w:p w14:paraId="0C54A9FC">
      <w:pPr>
        <w:spacing w:after="120" w:line="360" w:lineRule="auto"/>
        <w:jc w:val="both"/>
      </w:pPr>
      <w:r>
        <w:rPr>
          <w:rFonts w:ascii="宋体" w:hAnsi="宋体" w:eastAsia="宋体" w:cs="宋体"/>
          <w:b/>
          <w:bCs/>
          <w:sz w:val="24"/>
          <w:szCs w:val="24"/>
        </w:rPr>
        <w:t>能力目标。</w:t>
      </w:r>
    </w:p>
    <w:p w14:paraId="32AD41C1">
      <w:pPr>
        <w:pStyle w:val="19"/>
        <w:numPr>
          <w:ilvl w:val="0"/>
          <w:numId w:val="1"/>
        </w:numPr>
        <w:spacing w:after="60" w:line="340" w:lineRule="auto"/>
      </w:pPr>
      <w:r>
        <w:rPr>
          <w:rFonts w:ascii="宋体" w:hAnsi="宋体" w:eastAsia="宋体" w:cs="宋体"/>
          <w:sz w:val="24"/>
          <w:szCs w:val="24"/>
        </w:rPr>
        <w:t>能够运用三维扫描、摄影测量等工具进行文化遗产数字化采集</w:t>
      </w:r>
    </w:p>
    <w:p w14:paraId="601AF1F6">
      <w:pPr>
        <w:pStyle w:val="19"/>
        <w:numPr>
          <w:ilvl w:val="0"/>
          <w:numId w:val="1"/>
        </w:numPr>
        <w:spacing w:after="60" w:line="340" w:lineRule="auto"/>
      </w:pPr>
      <w:r>
        <w:rPr>
          <w:rFonts w:ascii="宋体" w:hAnsi="宋体" w:eastAsia="宋体" w:cs="宋体"/>
          <w:sz w:val="24"/>
          <w:szCs w:val="24"/>
        </w:rPr>
        <w:t>能够设计文化遗产知识图谱和数据库</w:t>
      </w:r>
    </w:p>
    <w:p w14:paraId="68F6C44C">
      <w:pPr>
        <w:pStyle w:val="19"/>
        <w:numPr>
          <w:ilvl w:val="0"/>
          <w:numId w:val="1"/>
        </w:numPr>
        <w:spacing w:after="60" w:line="340" w:lineRule="auto"/>
      </w:pPr>
      <w:r>
        <w:rPr>
          <w:rFonts w:ascii="宋体" w:hAnsi="宋体" w:eastAsia="宋体" w:cs="宋体"/>
          <w:sz w:val="24"/>
          <w:szCs w:val="24"/>
        </w:rPr>
        <w:t>能够策划文化旅游产品和沉浸式体验方案</w:t>
      </w:r>
    </w:p>
    <w:p w14:paraId="3C935DE2">
      <w:pPr>
        <w:pStyle w:val="19"/>
        <w:numPr>
          <w:ilvl w:val="0"/>
          <w:numId w:val="1"/>
        </w:numPr>
        <w:spacing w:after="60" w:line="340" w:lineRule="auto"/>
      </w:pPr>
      <w:r>
        <w:rPr>
          <w:rFonts w:ascii="宋体" w:hAnsi="宋体" w:eastAsia="宋体" w:cs="宋体"/>
          <w:sz w:val="24"/>
          <w:szCs w:val="24"/>
        </w:rPr>
        <w:t>能够分析文化遗产保护与旅游开发的协调问题</w:t>
      </w:r>
    </w:p>
    <w:p w14:paraId="0E9CD3C3">
      <w:pPr>
        <w:spacing w:after="120" w:line="360" w:lineRule="auto"/>
        <w:jc w:val="both"/>
      </w:pPr>
      <w:r>
        <w:rPr>
          <w:rFonts w:ascii="宋体" w:hAnsi="宋体" w:eastAsia="宋体" w:cs="宋体"/>
          <w:b/>
          <w:bCs/>
          <w:sz w:val="24"/>
          <w:szCs w:val="24"/>
        </w:rPr>
        <w:t>素养目标。</w:t>
      </w:r>
    </w:p>
    <w:p w14:paraId="78A78216">
      <w:pPr>
        <w:pStyle w:val="19"/>
        <w:numPr>
          <w:ilvl w:val="0"/>
          <w:numId w:val="1"/>
        </w:numPr>
        <w:spacing w:after="60" w:line="340" w:lineRule="auto"/>
      </w:pPr>
      <w:r>
        <w:rPr>
          <w:rFonts w:ascii="宋体" w:hAnsi="宋体" w:eastAsia="宋体" w:cs="宋体"/>
          <w:sz w:val="24"/>
          <w:szCs w:val="24"/>
        </w:rPr>
        <w:t>树立文化遗产保护的社会责任意识</w:t>
      </w:r>
    </w:p>
    <w:p w14:paraId="7CCD19B7">
      <w:pPr>
        <w:pStyle w:val="19"/>
        <w:numPr>
          <w:ilvl w:val="0"/>
          <w:numId w:val="1"/>
        </w:numPr>
        <w:spacing w:after="60" w:line="340" w:lineRule="auto"/>
      </w:pPr>
      <w:r>
        <w:rPr>
          <w:rFonts w:ascii="宋体" w:hAnsi="宋体" w:eastAsia="宋体" w:cs="宋体"/>
          <w:sz w:val="24"/>
          <w:szCs w:val="24"/>
        </w:rPr>
        <w:t>培养对地方文化的认同感和自豪感</w:t>
      </w:r>
    </w:p>
    <w:p w14:paraId="0E3E28C1">
      <w:pPr>
        <w:pStyle w:val="19"/>
        <w:numPr>
          <w:ilvl w:val="0"/>
          <w:numId w:val="1"/>
        </w:numPr>
        <w:spacing w:after="60" w:line="340" w:lineRule="auto"/>
      </w:pPr>
      <w:r>
        <w:rPr>
          <w:rFonts w:ascii="宋体" w:hAnsi="宋体" w:eastAsia="宋体" w:cs="宋体"/>
          <w:sz w:val="24"/>
          <w:szCs w:val="24"/>
        </w:rPr>
        <w:t>形成跨学科整合和团队协作的工作习惯</w:t>
      </w:r>
    </w:p>
    <w:p w14:paraId="5F2BF5DD">
      <w:pPr>
        <w:pStyle w:val="19"/>
        <w:numPr>
          <w:ilvl w:val="0"/>
          <w:numId w:val="1"/>
        </w:numPr>
        <w:spacing w:after="60" w:line="340" w:lineRule="auto"/>
      </w:pPr>
      <w:r>
        <w:rPr>
          <w:rFonts w:ascii="宋体" w:hAnsi="宋体" w:eastAsia="宋体" w:cs="宋体"/>
          <w:sz w:val="24"/>
          <w:szCs w:val="24"/>
        </w:rPr>
        <w:t>建立文化保护与经济发展协调的辩证思维</w:t>
      </w:r>
    </w:p>
    <w:p w14:paraId="3D4B3099">
      <w:pPr>
        <w:pStyle w:val="3"/>
        <w:spacing w:before="300" w:after="200"/>
      </w:pPr>
      <w:bookmarkStart w:id="394" w:name="_Toc28707"/>
      <w:r>
        <w:rPr>
          <w:rFonts w:ascii="黑体" w:hAnsi="黑体" w:eastAsia="黑体" w:cs="黑体"/>
          <w:b/>
          <w:bCs/>
          <w:color w:val="000000"/>
          <w:sz w:val="28"/>
          <w:szCs w:val="28"/>
        </w:rPr>
        <w:t>E.3 教学内容与学时分配</w:t>
      </w:r>
      <w:bookmarkEnd w:id="394"/>
    </w:p>
    <w:p w14:paraId="4CC555F4">
      <w:pPr>
        <w:pStyle w:val="4"/>
        <w:spacing w:before="300" w:after="200"/>
      </w:pPr>
      <w:bookmarkStart w:id="395" w:name="_Toc28073"/>
      <w:r>
        <w:rPr>
          <w:rFonts w:ascii="黑体" w:hAnsi="黑体" w:eastAsia="黑体" w:cs="黑体"/>
          <w:b/>
          <w:bCs/>
          <w:color w:val="000000"/>
          <w:sz w:val="26"/>
          <w:szCs w:val="26"/>
        </w:rPr>
        <w:t>第一篇：文化认知篇（12学时）</w:t>
      </w:r>
      <w:bookmarkEnd w:id="39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313D2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8F8DAEF">
            <w:pPr>
              <w:spacing w:after="0"/>
            </w:pPr>
            <w:r>
              <w:rPr>
                <w:rFonts w:ascii="宋体" w:hAnsi="宋体" w:eastAsia="宋体" w:cs="宋体"/>
                <w:b/>
                <w:bCs/>
                <w:color w:val="FFFFFF"/>
                <w:sz w:val="20"/>
                <w:szCs w:val="20"/>
              </w:rPr>
              <w:t>章节</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FF1EB1A">
            <w:pPr>
              <w:spacing w:after="0"/>
            </w:pPr>
            <w:r>
              <w:rPr>
                <w:rFonts w:ascii="宋体" w:hAnsi="宋体" w:eastAsia="宋体" w:cs="宋体"/>
                <w:b/>
                <w:bCs/>
                <w:color w:val="FFFFFF"/>
                <w:sz w:val="20"/>
                <w:szCs w:val="20"/>
              </w:rPr>
              <w:t>内容</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CC0E5A0">
            <w:pPr>
              <w:spacing w:after="0"/>
            </w:pPr>
            <w:r>
              <w:rPr>
                <w:rFonts w:ascii="宋体" w:hAnsi="宋体" w:eastAsia="宋体" w:cs="宋体"/>
                <w:b/>
                <w:bCs/>
                <w:color w:val="FFFFFF"/>
                <w:sz w:val="20"/>
                <w:szCs w:val="20"/>
              </w:rPr>
              <w:t>理论学时</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A759728">
            <w:pPr>
              <w:spacing w:after="0"/>
            </w:pPr>
            <w:r>
              <w:rPr>
                <w:rFonts w:ascii="宋体" w:hAnsi="宋体" w:eastAsia="宋体" w:cs="宋体"/>
                <w:b/>
                <w:bCs/>
                <w:color w:val="FFFFFF"/>
                <w:sz w:val="20"/>
                <w:szCs w:val="20"/>
              </w:rPr>
              <w:t>教学方式</w:t>
            </w:r>
          </w:p>
        </w:tc>
      </w:tr>
      <w:tr w14:paraId="31791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A38E51">
            <w:pPr>
              <w:spacing w:after="0"/>
            </w:pPr>
            <w:r>
              <w:rPr>
                <w:rFonts w:ascii="宋体" w:hAnsi="宋体" w:eastAsia="宋体" w:cs="宋体"/>
                <w:sz w:val="20"/>
                <w:szCs w:val="20"/>
              </w:rPr>
              <w:t>第1章 屯堡文化概述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A3F80D">
            <w:pPr>
              <w:spacing w:after="0"/>
            </w:pPr>
            <w:r>
              <w:rPr>
                <w:rFonts w:ascii="宋体" w:hAnsi="宋体" w:eastAsia="宋体" w:cs="宋体"/>
                <w:sz w:val="20"/>
                <w:szCs w:val="20"/>
              </w:rPr>
              <w:t>定义、起源、地理分布、历史地位</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DDFDB1">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F2877A">
            <w:pPr>
              <w:spacing w:after="0"/>
            </w:pPr>
            <w:r>
              <w:rPr>
                <w:rFonts w:ascii="宋体" w:hAnsi="宋体" w:eastAsia="宋体" w:cs="宋体"/>
                <w:sz w:val="20"/>
                <w:szCs w:val="20"/>
              </w:rPr>
              <w:t>讲授+影像观摩</w:t>
            </w:r>
          </w:p>
        </w:tc>
      </w:tr>
      <w:tr w14:paraId="05FFC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67E701E">
            <w:pPr>
              <w:spacing w:after="0"/>
            </w:pPr>
            <w:r>
              <w:rPr>
                <w:rFonts w:ascii="宋体" w:hAnsi="宋体" w:eastAsia="宋体" w:cs="宋体"/>
                <w:sz w:val="20"/>
                <w:szCs w:val="20"/>
              </w:rPr>
              <w:t>第2章 屯堡文化核心要素</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DA19BE0">
            <w:pPr>
              <w:spacing w:after="0"/>
            </w:pPr>
            <w:r>
              <w:rPr>
                <w:rFonts w:ascii="宋体" w:hAnsi="宋体" w:eastAsia="宋体" w:cs="宋体"/>
                <w:sz w:val="20"/>
                <w:szCs w:val="20"/>
              </w:rPr>
              <w:t>建筑、地戏、服饰、饮食、语言、信仰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BB81693">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029C37">
            <w:pPr>
              <w:spacing w:after="0"/>
            </w:pPr>
            <w:r>
              <w:rPr>
                <w:rFonts w:ascii="宋体" w:hAnsi="宋体" w:eastAsia="宋体" w:cs="宋体"/>
                <w:sz w:val="20"/>
                <w:szCs w:val="20"/>
              </w:rPr>
              <w:t>讲授+案例分析</w:t>
            </w:r>
          </w:p>
        </w:tc>
      </w:tr>
      <w:tr w14:paraId="121E9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D3621F">
            <w:pPr>
              <w:spacing w:after="0"/>
            </w:pPr>
            <w:r>
              <w:rPr>
                <w:rFonts w:ascii="宋体" w:hAnsi="宋体" w:eastAsia="宋体" w:cs="宋体"/>
                <w:sz w:val="20"/>
                <w:szCs w:val="20"/>
              </w:rPr>
              <w:t>第3章 屯堡文化的当代价值</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38E35F">
            <w:pPr>
              <w:spacing w:after="0"/>
            </w:pPr>
            <w:r>
              <w:rPr>
                <w:rFonts w:ascii="宋体" w:hAnsi="宋体" w:eastAsia="宋体" w:cs="宋体"/>
                <w:sz w:val="20"/>
                <w:szCs w:val="20"/>
              </w:rPr>
              <w:t>价值评估框架、多维价值分析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85CE39">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0B7115">
            <w:pPr>
              <w:spacing w:after="0"/>
            </w:pPr>
            <w:r>
              <w:rPr>
                <w:rFonts w:ascii="宋体" w:hAnsi="宋体" w:eastAsia="宋体" w:cs="宋体"/>
                <w:sz w:val="20"/>
                <w:szCs w:val="20"/>
              </w:rPr>
              <w:t>讲授+小组讨论</w:t>
            </w:r>
          </w:p>
        </w:tc>
      </w:tr>
    </w:tbl>
    <w:p w14:paraId="51FA31FC">
      <w:pPr>
        <w:pStyle w:val="4"/>
        <w:spacing w:before="300" w:after="200"/>
      </w:pPr>
      <w:bookmarkStart w:id="396" w:name="_Toc20119"/>
      <w:r>
        <w:rPr>
          <w:rFonts w:ascii="黑体" w:hAnsi="黑体" w:eastAsia="黑体" w:cs="黑体"/>
          <w:b/>
          <w:bCs/>
          <w:color w:val="000000"/>
          <w:sz w:val="26"/>
          <w:szCs w:val="26"/>
        </w:rPr>
        <w:t>第二篇：数字化保护篇（14学时）</w:t>
      </w:r>
      <w:bookmarkEnd w:id="396"/>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44FDE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E14EDAD">
            <w:pPr>
              <w:spacing w:after="0"/>
            </w:pPr>
            <w:r>
              <w:rPr>
                <w:rFonts w:ascii="宋体" w:hAnsi="宋体" w:eastAsia="宋体" w:cs="宋体"/>
                <w:b/>
                <w:bCs/>
                <w:color w:val="FFFFFF"/>
                <w:sz w:val="20"/>
                <w:szCs w:val="20"/>
              </w:rPr>
              <w:t>章节</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77CEC39">
            <w:pPr>
              <w:spacing w:after="0"/>
            </w:pPr>
            <w:r>
              <w:rPr>
                <w:rFonts w:ascii="宋体" w:hAnsi="宋体" w:eastAsia="宋体" w:cs="宋体"/>
                <w:b/>
                <w:bCs/>
                <w:color w:val="FFFFFF"/>
                <w:sz w:val="20"/>
                <w:szCs w:val="20"/>
              </w:rPr>
              <w:t>内容</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8EC6160">
            <w:pPr>
              <w:spacing w:after="0"/>
            </w:pPr>
            <w:r>
              <w:rPr>
                <w:rFonts w:ascii="宋体" w:hAnsi="宋体" w:eastAsia="宋体" w:cs="宋体"/>
                <w:b/>
                <w:bCs/>
                <w:color w:val="FFFFFF"/>
                <w:sz w:val="20"/>
                <w:szCs w:val="20"/>
              </w:rPr>
              <w:t>理论学时</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5DD6E89">
            <w:pPr>
              <w:spacing w:after="0"/>
            </w:pPr>
            <w:r>
              <w:rPr>
                <w:rFonts w:ascii="宋体" w:hAnsi="宋体" w:eastAsia="宋体" w:cs="宋体"/>
                <w:b/>
                <w:bCs/>
                <w:color w:val="FFFFFF"/>
                <w:sz w:val="20"/>
                <w:szCs w:val="20"/>
              </w:rPr>
              <w:t>教学方式</w:t>
            </w:r>
          </w:p>
        </w:tc>
      </w:tr>
      <w:tr w14:paraId="2798A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7A4C4C9">
            <w:pPr>
              <w:spacing w:after="0"/>
            </w:pPr>
            <w:r>
              <w:rPr>
                <w:rFonts w:ascii="宋体" w:hAnsi="宋体" w:eastAsia="宋体" w:cs="宋体"/>
                <w:sz w:val="20"/>
                <w:szCs w:val="20"/>
              </w:rPr>
              <w:t>第4章 文化遗产数字化理论与方法</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1EC8834">
            <w:pPr>
              <w:spacing w:after="0"/>
            </w:pPr>
            <w:r>
              <w:rPr>
                <w:rFonts w:ascii="宋体" w:hAnsi="宋体" w:eastAsia="宋体" w:cs="宋体"/>
                <w:sz w:val="20"/>
                <w:szCs w:val="20"/>
              </w:rPr>
              <w:t>概念、采集技术、处理技术、国际标准</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75961A">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622F49">
            <w:pPr>
              <w:spacing w:after="0"/>
            </w:pPr>
            <w:r>
              <w:rPr>
                <w:rFonts w:ascii="宋体" w:hAnsi="宋体" w:eastAsia="宋体" w:cs="宋体"/>
                <w:sz w:val="20"/>
                <w:szCs w:val="20"/>
              </w:rPr>
              <w:t>讲授+技术演示</w:t>
            </w:r>
          </w:p>
        </w:tc>
      </w:tr>
      <w:tr w14:paraId="7052C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D51811">
            <w:pPr>
              <w:spacing w:after="0"/>
            </w:pPr>
            <w:r>
              <w:rPr>
                <w:rFonts w:ascii="宋体" w:hAnsi="宋体" w:eastAsia="宋体" w:cs="宋体"/>
                <w:sz w:val="20"/>
                <w:szCs w:val="20"/>
              </w:rPr>
              <w:t>第5章 屯堡建筑与空间数字化</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6E383FC">
            <w:pPr>
              <w:spacing w:after="0"/>
            </w:pPr>
            <w:r>
              <w:rPr>
                <w:rFonts w:ascii="宋体" w:hAnsi="宋体" w:eastAsia="宋体" w:cs="宋体"/>
                <w:sz w:val="20"/>
                <w:szCs w:val="20"/>
              </w:rPr>
              <w:t>建筑三维采集、HBIM、GIS分析、数字孪生</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CE8CCC">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93C2B0">
            <w:pPr>
              <w:spacing w:after="0"/>
            </w:pPr>
            <w:r>
              <w:rPr>
                <w:rFonts w:ascii="宋体" w:hAnsi="宋体" w:eastAsia="宋体" w:cs="宋体"/>
                <w:sz w:val="20"/>
                <w:szCs w:val="20"/>
              </w:rPr>
              <w:t>讲授+案例教学</w:t>
            </w:r>
          </w:p>
        </w:tc>
      </w:tr>
      <w:tr w14:paraId="39A3F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4C73D7">
            <w:pPr>
              <w:spacing w:after="0"/>
            </w:pPr>
            <w:r>
              <w:rPr>
                <w:rFonts w:ascii="宋体" w:hAnsi="宋体" w:eastAsia="宋体" w:cs="宋体"/>
                <w:sz w:val="20"/>
                <w:szCs w:val="20"/>
              </w:rPr>
              <w:t>第6章 屯堡非物质文化遗产数字化</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221388">
            <w:pPr>
              <w:spacing w:after="0"/>
            </w:pPr>
            <w:r>
              <w:rPr>
                <w:rFonts w:ascii="宋体" w:hAnsi="宋体" w:eastAsia="宋体" w:cs="宋体"/>
                <w:sz w:val="20"/>
                <w:szCs w:val="20"/>
              </w:rPr>
              <w:t>地戏记录、手工艺采集、口述史、AI应用</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5DADAC">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923525">
            <w:pPr>
              <w:spacing w:after="0"/>
            </w:pPr>
            <w:r>
              <w:rPr>
                <w:rFonts w:ascii="宋体" w:hAnsi="宋体" w:eastAsia="宋体" w:cs="宋体"/>
                <w:sz w:val="20"/>
                <w:szCs w:val="20"/>
              </w:rPr>
              <w:t>讲授+实践演示</w:t>
            </w:r>
          </w:p>
        </w:tc>
      </w:tr>
      <w:tr w14:paraId="352AF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D888D9A">
            <w:pPr>
              <w:spacing w:after="0"/>
            </w:pPr>
            <w:r>
              <w:rPr>
                <w:rFonts w:ascii="宋体" w:hAnsi="宋体" w:eastAsia="宋体" w:cs="宋体"/>
                <w:sz w:val="20"/>
                <w:szCs w:val="20"/>
              </w:rPr>
              <w:t>第7章 屯堡文化数据库与知识图谱</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F4D898D">
            <w:pPr>
              <w:spacing w:after="0"/>
            </w:pPr>
            <w:r>
              <w:rPr>
                <w:rFonts w:ascii="宋体" w:hAnsi="宋体" w:eastAsia="宋体" w:cs="宋体"/>
                <w:sz w:val="20"/>
                <w:szCs w:val="20"/>
              </w:rPr>
              <w:t>元数据标准、知识图谱构建、大数据平台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E60242">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C51216">
            <w:pPr>
              <w:spacing w:after="0"/>
            </w:pPr>
            <w:r>
              <w:rPr>
                <w:rFonts w:ascii="宋体" w:hAnsi="宋体" w:eastAsia="宋体" w:cs="宋体"/>
                <w:sz w:val="20"/>
                <w:szCs w:val="20"/>
              </w:rPr>
              <w:t>讲授+上机操作</w:t>
            </w:r>
          </w:p>
        </w:tc>
      </w:tr>
    </w:tbl>
    <w:p w14:paraId="63D0FA45">
      <w:pPr>
        <w:pStyle w:val="4"/>
        <w:spacing w:before="300" w:after="200"/>
      </w:pPr>
      <w:bookmarkStart w:id="397" w:name="_Toc16002"/>
      <w:r>
        <w:rPr>
          <w:rFonts w:ascii="黑体" w:hAnsi="黑体" w:eastAsia="黑体" w:cs="黑体"/>
          <w:b/>
          <w:bCs/>
          <w:color w:val="000000"/>
          <w:sz w:val="26"/>
          <w:szCs w:val="26"/>
        </w:rPr>
        <w:t>第三篇：旅游活化篇（12学时）</w:t>
      </w:r>
      <w:bookmarkEnd w:id="397"/>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1BD1C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17E0679">
            <w:pPr>
              <w:spacing w:after="0"/>
            </w:pPr>
            <w:r>
              <w:rPr>
                <w:rFonts w:ascii="宋体" w:hAnsi="宋体" w:eastAsia="宋体" w:cs="宋体"/>
                <w:b/>
                <w:bCs/>
                <w:color w:val="FFFFFF"/>
                <w:sz w:val="20"/>
                <w:szCs w:val="20"/>
              </w:rPr>
              <w:t>章节</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3101D3B">
            <w:pPr>
              <w:spacing w:after="0"/>
            </w:pPr>
            <w:r>
              <w:rPr>
                <w:rFonts w:ascii="宋体" w:hAnsi="宋体" w:eastAsia="宋体" w:cs="宋体"/>
                <w:b/>
                <w:bCs/>
                <w:color w:val="FFFFFF"/>
                <w:sz w:val="20"/>
                <w:szCs w:val="20"/>
              </w:rPr>
              <w:t>内容</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454B07A">
            <w:pPr>
              <w:spacing w:after="0"/>
            </w:pPr>
            <w:r>
              <w:rPr>
                <w:rFonts w:ascii="宋体" w:hAnsi="宋体" w:eastAsia="宋体" w:cs="宋体"/>
                <w:b/>
                <w:bCs/>
                <w:color w:val="FFFFFF"/>
                <w:sz w:val="20"/>
                <w:szCs w:val="20"/>
              </w:rPr>
              <w:t>理论学时</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21D836E">
            <w:pPr>
              <w:spacing w:after="0"/>
            </w:pPr>
            <w:r>
              <w:rPr>
                <w:rFonts w:ascii="宋体" w:hAnsi="宋体" w:eastAsia="宋体" w:cs="宋体"/>
                <w:b/>
                <w:bCs/>
                <w:color w:val="FFFFFF"/>
                <w:sz w:val="20"/>
                <w:szCs w:val="20"/>
              </w:rPr>
              <w:t>教学方式</w:t>
            </w:r>
          </w:p>
        </w:tc>
      </w:tr>
      <w:tr w14:paraId="3C65F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0EB96D9">
            <w:pPr>
              <w:spacing w:after="0"/>
            </w:pPr>
            <w:r>
              <w:rPr>
                <w:rFonts w:ascii="宋体" w:hAnsi="宋体" w:eastAsia="宋体" w:cs="宋体"/>
                <w:sz w:val="20"/>
                <w:szCs w:val="20"/>
              </w:rPr>
              <w:t>第8章 文化遗产旅游活化理论</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57E3B6">
            <w:pPr>
              <w:spacing w:after="0"/>
            </w:pPr>
            <w:r>
              <w:rPr>
                <w:rFonts w:ascii="宋体" w:hAnsi="宋体" w:eastAsia="宋体" w:cs="宋体"/>
                <w:sz w:val="20"/>
                <w:szCs w:val="20"/>
              </w:rPr>
              <w:t>活化概念、活化模式、屯堡现状分析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EACE16">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755AA0">
            <w:pPr>
              <w:spacing w:after="0"/>
            </w:pPr>
            <w:r>
              <w:rPr>
                <w:rFonts w:ascii="宋体" w:hAnsi="宋体" w:eastAsia="宋体" w:cs="宋体"/>
                <w:sz w:val="20"/>
                <w:szCs w:val="20"/>
              </w:rPr>
              <w:t>讲授+案例分析</w:t>
            </w:r>
          </w:p>
        </w:tc>
      </w:tr>
      <w:tr w14:paraId="0EABB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C8FF74">
            <w:pPr>
              <w:spacing w:after="0"/>
            </w:pPr>
            <w:r>
              <w:rPr>
                <w:rFonts w:ascii="宋体" w:hAnsi="宋体" w:eastAsia="宋体" w:cs="宋体"/>
                <w:sz w:val="20"/>
                <w:szCs w:val="20"/>
              </w:rPr>
              <w:t>第9章 沉浸式屯堡体验设计</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CFE344">
            <w:pPr>
              <w:spacing w:after="0"/>
            </w:pPr>
            <w:r>
              <w:rPr>
                <w:rFonts w:ascii="宋体" w:hAnsi="宋体" w:eastAsia="宋体" w:cs="宋体"/>
                <w:sz w:val="20"/>
                <w:szCs w:val="20"/>
              </w:rPr>
              <w:t>VR/AR体验、沉浸式剧场、游戏化设计</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54BAEC">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50ACFF">
            <w:pPr>
              <w:spacing w:after="0"/>
            </w:pPr>
            <w:r>
              <w:rPr>
                <w:rFonts w:ascii="宋体" w:hAnsi="宋体" w:eastAsia="宋体" w:cs="宋体"/>
                <w:sz w:val="20"/>
                <w:szCs w:val="20"/>
              </w:rPr>
              <w:t>讲授+体验教学</w:t>
            </w:r>
          </w:p>
        </w:tc>
      </w:tr>
      <w:tr w14:paraId="64758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728CB1">
            <w:pPr>
              <w:spacing w:after="0"/>
            </w:pPr>
            <w:r>
              <w:rPr>
                <w:rFonts w:ascii="宋体" w:hAnsi="宋体" w:eastAsia="宋体" w:cs="宋体"/>
                <w:sz w:val="20"/>
                <w:szCs w:val="20"/>
              </w:rPr>
              <w:t>第10章 屯堡文创产品开发与IP运营</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BEC965">
            <w:pPr>
              <w:spacing w:after="0"/>
            </w:pPr>
            <w:r>
              <w:rPr>
                <w:rFonts w:ascii="宋体" w:hAnsi="宋体" w:eastAsia="宋体" w:cs="宋体"/>
                <w:sz w:val="20"/>
                <w:szCs w:val="20"/>
              </w:rPr>
              <w:t>文创开发流程、符号转化、IP运营、数字文创</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F70A69">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7D43A2">
            <w:pPr>
              <w:spacing w:after="0"/>
            </w:pPr>
            <w:r>
              <w:rPr>
                <w:rFonts w:ascii="宋体" w:hAnsi="宋体" w:eastAsia="宋体" w:cs="宋体"/>
                <w:sz w:val="20"/>
                <w:szCs w:val="20"/>
              </w:rPr>
              <w:t>讲授+工作坊</w:t>
            </w:r>
          </w:p>
        </w:tc>
      </w:tr>
    </w:tbl>
    <w:p w14:paraId="6BC0F3D4">
      <w:pPr>
        <w:pStyle w:val="4"/>
        <w:spacing w:before="300" w:after="200"/>
      </w:pPr>
      <w:bookmarkStart w:id="398" w:name="_Toc6414"/>
      <w:r>
        <w:rPr>
          <w:rFonts w:ascii="黑体" w:hAnsi="黑体" w:eastAsia="黑体" w:cs="黑体"/>
          <w:b/>
          <w:bCs/>
          <w:color w:val="000000"/>
          <w:sz w:val="26"/>
          <w:szCs w:val="26"/>
        </w:rPr>
        <w:t>第四篇：实践与治理篇（10学时）</w:t>
      </w:r>
      <w:bookmarkEnd w:id="398"/>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28929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1BFB647">
            <w:pPr>
              <w:spacing w:after="0"/>
            </w:pPr>
            <w:r>
              <w:rPr>
                <w:rFonts w:ascii="宋体" w:hAnsi="宋体" w:eastAsia="宋体" w:cs="宋体"/>
                <w:b/>
                <w:bCs/>
                <w:color w:val="FFFFFF"/>
                <w:sz w:val="20"/>
                <w:szCs w:val="20"/>
              </w:rPr>
              <w:t>章节</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487C937">
            <w:pPr>
              <w:spacing w:after="0"/>
            </w:pPr>
            <w:r>
              <w:rPr>
                <w:rFonts w:ascii="宋体" w:hAnsi="宋体" w:eastAsia="宋体" w:cs="宋体"/>
                <w:b/>
                <w:bCs/>
                <w:color w:val="FFFFFF"/>
                <w:sz w:val="20"/>
                <w:szCs w:val="20"/>
              </w:rPr>
              <w:t>内容</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C6D1EE4">
            <w:pPr>
              <w:spacing w:after="0"/>
            </w:pPr>
            <w:r>
              <w:rPr>
                <w:rFonts w:ascii="宋体" w:hAnsi="宋体" w:eastAsia="宋体" w:cs="宋体"/>
                <w:b/>
                <w:bCs/>
                <w:color w:val="FFFFFF"/>
                <w:sz w:val="20"/>
                <w:szCs w:val="20"/>
              </w:rPr>
              <w:t>理论学时</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5823A8B">
            <w:pPr>
              <w:spacing w:after="0"/>
            </w:pPr>
            <w:r>
              <w:rPr>
                <w:rFonts w:ascii="宋体" w:hAnsi="宋体" w:eastAsia="宋体" w:cs="宋体"/>
                <w:b/>
                <w:bCs/>
                <w:color w:val="FFFFFF"/>
                <w:sz w:val="20"/>
                <w:szCs w:val="20"/>
              </w:rPr>
              <w:t>教学方式</w:t>
            </w:r>
          </w:p>
        </w:tc>
      </w:tr>
      <w:tr w14:paraId="7363D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04218D">
            <w:pPr>
              <w:spacing w:after="0"/>
            </w:pPr>
            <w:r>
              <w:rPr>
                <w:rFonts w:ascii="宋体" w:hAnsi="宋体" w:eastAsia="宋体" w:cs="宋体"/>
                <w:sz w:val="20"/>
                <w:szCs w:val="20"/>
              </w:rPr>
              <w:t>第11章 贵州屯堡文化保护与旅游实践</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A442D6">
            <w:pPr>
              <w:spacing w:after="0"/>
            </w:pPr>
            <w:r>
              <w:rPr>
                <w:rFonts w:ascii="宋体" w:hAnsi="宋体" w:eastAsia="宋体" w:cs="宋体"/>
                <w:sz w:val="20"/>
                <w:szCs w:val="20"/>
              </w:rPr>
              <w:t>政策框架、村寨实践、新技术应用</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F86EF36">
            <w:pPr>
              <w:spacing w:after="0"/>
            </w:pPr>
            <w:r>
              <w:rPr>
                <w:rFonts w:ascii="宋体" w:hAnsi="宋体" w:eastAsia="宋体" w:cs="宋体"/>
                <w:sz w:val="20"/>
                <w:szCs w:val="20"/>
              </w:rPr>
              <w:t>5</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58A236">
            <w:pPr>
              <w:spacing w:after="0"/>
            </w:pPr>
            <w:r>
              <w:rPr>
                <w:rFonts w:ascii="宋体" w:hAnsi="宋体" w:eastAsia="宋体" w:cs="宋体"/>
                <w:sz w:val="20"/>
                <w:szCs w:val="20"/>
              </w:rPr>
              <w:t>讲授+实地考察</w:t>
            </w:r>
          </w:p>
        </w:tc>
      </w:tr>
      <w:tr w14:paraId="27CAF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605669E">
            <w:pPr>
              <w:spacing w:after="0"/>
            </w:pPr>
            <w:r>
              <w:rPr>
                <w:rFonts w:ascii="宋体" w:hAnsi="宋体" w:eastAsia="宋体" w:cs="宋体"/>
                <w:sz w:val="20"/>
                <w:szCs w:val="20"/>
              </w:rPr>
              <w:t>第12章 可持续发展与社区参与</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227935">
            <w:pPr>
              <w:spacing w:after="0"/>
            </w:pPr>
            <w:r>
              <w:rPr>
                <w:rFonts w:ascii="宋体" w:hAnsi="宋体" w:eastAsia="宋体" w:cs="宋体"/>
                <w:sz w:val="20"/>
                <w:szCs w:val="20"/>
              </w:rPr>
              <w:t>可持续发展理论、社区参与、环境保护</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BA91BB">
            <w:pPr>
              <w:spacing w:after="0"/>
            </w:pPr>
            <w:r>
              <w:rPr>
                <w:rFonts w:ascii="宋体" w:hAnsi="宋体" w:eastAsia="宋体" w:cs="宋体"/>
                <w:sz w:val="20"/>
                <w:szCs w:val="20"/>
              </w:rPr>
              <w:t>5</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EE72CB">
            <w:pPr>
              <w:spacing w:after="0"/>
            </w:pPr>
            <w:r>
              <w:rPr>
                <w:rFonts w:ascii="宋体" w:hAnsi="宋体" w:eastAsia="宋体" w:cs="宋体"/>
                <w:sz w:val="20"/>
                <w:szCs w:val="20"/>
              </w:rPr>
              <w:t>讲授+小组研讨</w:t>
            </w:r>
          </w:p>
        </w:tc>
      </w:tr>
    </w:tbl>
    <w:p w14:paraId="261A28CB">
      <w:pPr>
        <w:pStyle w:val="3"/>
        <w:spacing w:before="300" w:after="200"/>
      </w:pPr>
      <w:bookmarkStart w:id="399" w:name="_Toc9007"/>
      <w:r>
        <w:rPr>
          <w:rFonts w:ascii="黑体" w:hAnsi="黑体" w:eastAsia="黑体" w:cs="黑体"/>
          <w:b/>
          <w:bCs/>
          <w:color w:val="000000"/>
          <w:sz w:val="28"/>
          <w:szCs w:val="28"/>
        </w:rPr>
        <w:t>E.4 实验教学安排（16学时）</w:t>
      </w:r>
      <w:bookmarkEnd w:id="39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4C6F4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EA9CAF5">
            <w:pPr>
              <w:spacing w:after="0"/>
            </w:pPr>
            <w:r>
              <w:rPr>
                <w:rFonts w:ascii="宋体" w:hAnsi="宋体" w:eastAsia="宋体" w:cs="宋体"/>
                <w:b/>
                <w:bCs/>
                <w:color w:val="FFFFFF"/>
                <w:sz w:val="20"/>
                <w:szCs w:val="20"/>
              </w:rPr>
              <w:t>实验编号</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E067325">
            <w:pPr>
              <w:spacing w:after="0"/>
            </w:pPr>
            <w:r>
              <w:rPr>
                <w:rFonts w:ascii="宋体" w:hAnsi="宋体" w:eastAsia="宋体" w:cs="宋体"/>
                <w:b/>
                <w:bCs/>
                <w:color w:val="FFFFFF"/>
                <w:sz w:val="20"/>
                <w:szCs w:val="20"/>
              </w:rPr>
              <w:t>实验名称</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A4E43A5">
            <w:pPr>
              <w:spacing w:after="0"/>
            </w:pPr>
            <w:r>
              <w:rPr>
                <w:rFonts w:ascii="宋体" w:hAnsi="宋体" w:eastAsia="宋体" w:cs="宋体"/>
                <w:b/>
                <w:bCs/>
                <w:color w:val="FFFFFF"/>
                <w:sz w:val="20"/>
                <w:szCs w:val="20"/>
              </w:rPr>
              <w:t>学时</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7C1F381">
            <w:pPr>
              <w:spacing w:after="0"/>
            </w:pPr>
            <w:r>
              <w:rPr>
                <w:rFonts w:ascii="宋体" w:hAnsi="宋体" w:eastAsia="宋体" w:cs="宋体"/>
                <w:b/>
                <w:bCs/>
                <w:color w:val="FFFFFF"/>
                <w:sz w:val="20"/>
                <w:szCs w:val="20"/>
              </w:rPr>
              <w:t>类型</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4FA80CB">
            <w:pPr>
              <w:spacing w:after="0"/>
            </w:pPr>
            <w:r>
              <w:rPr>
                <w:rFonts w:ascii="宋体" w:hAnsi="宋体" w:eastAsia="宋体" w:cs="宋体"/>
                <w:b/>
                <w:bCs/>
                <w:color w:val="FFFFFF"/>
                <w:sz w:val="20"/>
                <w:szCs w:val="20"/>
              </w:rPr>
              <w:t>主要内容</w:t>
            </w:r>
          </w:p>
        </w:tc>
      </w:tr>
      <w:tr w14:paraId="201B7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833579">
            <w:pPr>
              <w:spacing w:after="0"/>
            </w:pPr>
            <w:r>
              <w:rPr>
                <w:rFonts w:ascii="宋体" w:hAnsi="宋体" w:eastAsia="宋体" w:cs="宋体"/>
                <w:sz w:val="20"/>
                <w:szCs w:val="20"/>
              </w:rPr>
              <w:t>实验一</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FDB6D9">
            <w:pPr>
              <w:spacing w:after="0"/>
            </w:pPr>
            <w:r>
              <w:rPr>
                <w:rFonts w:ascii="宋体" w:hAnsi="宋体" w:eastAsia="宋体" w:cs="宋体"/>
                <w:sz w:val="20"/>
                <w:szCs w:val="20"/>
              </w:rPr>
              <w:t>屯堡建筑数字化采集</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ACEA0F">
            <w:pPr>
              <w:spacing w:after="0"/>
            </w:pPr>
            <w:r>
              <w:rPr>
                <w:rFonts w:ascii="宋体" w:hAnsi="宋体" w:eastAsia="宋体" w:cs="宋体"/>
                <w:sz w:val="20"/>
                <w:szCs w:val="20"/>
              </w:rPr>
              <w:t>4</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EF68E6">
            <w:pPr>
              <w:spacing w:after="0"/>
            </w:pPr>
            <w:r>
              <w:rPr>
                <w:rFonts w:ascii="宋体" w:hAnsi="宋体" w:eastAsia="宋体" w:cs="宋体"/>
                <w:sz w:val="20"/>
                <w:szCs w:val="20"/>
              </w:rPr>
              <w:t>综合</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4B1CC0">
            <w:pPr>
              <w:spacing w:after="0"/>
            </w:pPr>
            <w:r>
              <w:rPr>
                <w:rFonts w:ascii="宋体" w:hAnsi="宋体" w:eastAsia="宋体" w:cs="宋体"/>
                <w:sz w:val="20"/>
                <w:szCs w:val="20"/>
              </w:rPr>
              <w:t>使用无人机和全景相机对建筑进行数字化采集，学习基本操作</w:t>
            </w:r>
          </w:p>
        </w:tc>
      </w:tr>
      <w:tr w14:paraId="52337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DF7196">
            <w:pPr>
              <w:spacing w:after="0"/>
            </w:pPr>
            <w:r>
              <w:rPr>
                <w:rFonts w:ascii="宋体" w:hAnsi="宋体" w:eastAsia="宋体" w:cs="宋体"/>
                <w:sz w:val="20"/>
                <w:szCs w:val="20"/>
              </w:rPr>
              <w:t>实验二</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6E62D93">
            <w:pPr>
              <w:spacing w:after="0"/>
            </w:pPr>
            <w:r>
              <w:rPr>
                <w:rFonts w:ascii="宋体" w:hAnsi="宋体" w:eastAsia="宋体" w:cs="宋体"/>
                <w:sz w:val="20"/>
                <w:szCs w:val="20"/>
              </w:rPr>
              <w:t>三维模型处理与展示</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9F10CDF">
            <w:pPr>
              <w:spacing w:after="0"/>
            </w:pPr>
            <w:r>
              <w:rPr>
                <w:rFonts w:ascii="宋体" w:hAnsi="宋体" w:eastAsia="宋体" w:cs="宋体"/>
                <w:sz w:val="20"/>
                <w:szCs w:val="20"/>
              </w:rPr>
              <w:t>4</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20BB1E">
            <w:pPr>
              <w:spacing w:after="0"/>
            </w:pPr>
            <w:r>
              <w:rPr>
                <w:rFonts w:ascii="宋体" w:hAnsi="宋体" w:eastAsia="宋体" w:cs="宋体"/>
                <w:sz w:val="20"/>
                <w:szCs w:val="20"/>
              </w:rPr>
              <w:t>综合</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47B6D4">
            <w:pPr>
              <w:spacing w:after="0"/>
            </w:pPr>
            <w:r>
              <w:rPr>
                <w:rFonts w:ascii="宋体" w:hAnsi="宋体" w:eastAsia="宋体" w:cs="宋体"/>
                <w:sz w:val="20"/>
                <w:szCs w:val="20"/>
              </w:rPr>
              <w:t>使用CloudCompare处理点云数据，使用SketchUp建立简易三维模型</w:t>
            </w:r>
          </w:p>
        </w:tc>
      </w:tr>
      <w:tr w14:paraId="547AB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16A26FA">
            <w:pPr>
              <w:spacing w:after="0"/>
            </w:pPr>
            <w:r>
              <w:rPr>
                <w:rFonts w:ascii="宋体" w:hAnsi="宋体" w:eastAsia="宋体" w:cs="宋体"/>
                <w:sz w:val="20"/>
                <w:szCs w:val="20"/>
              </w:rPr>
              <w:t>实验三</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F3C490">
            <w:pPr>
              <w:spacing w:after="0"/>
            </w:pPr>
            <w:r>
              <w:rPr>
                <w:rFonts w:ascii="宋体" w:hAnsi="宋体" w:eastAsia="宋体" w:cs="宋体"/>
                <w:sz w:val="20"/>
                <w:szCs w:val="20"/>
              </w:rPr>
              <w:t>知识图谱构建</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7FD3A9">
            <w:pPr>
              <w:spacing w:after="0"/>
            </w:pPr>
            <w:r>
              <w:rPr>
                <w:rFonts w:ascii="宋体" w:hAnsi="宋体" w:eastAsia="宋体" w:cs="宋体"/>
                <w:sz w:val="20"/>
                <w:szCs w:val="20"/>
              </w:rPr>
              <w:t>4</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EBB800">
            <w:pPr>
              <w:spacing w:after="0"/>
            </w:pPr>
            <w:r>
              <w:rPr>
                <w:rFonts w:ascii="宋体" w:hAnsi="宋体" w:eastAsia="宋体" w:cs="宋体"/>
                <w:sz w:val="20"/>
                <w:szCs w:val="20"/>
              </w:rPr>
              <w:t>设计</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F11110">
            <w:pPr>
              <w:spacing w:after="0"/>
            </w:pPr>
            <w:r>
              <w:rPr>
                <w:rFonts w:ascii="宋体" w:hAnsi="宋体" w:eastAsia="宋体" w:cs="宋体"/>
                <w:sz w:val="20"/>
                <w:szCs w:val="20"/>
              </w:rPr>
              <w:t>使用Protégé设计屯堡文化本体模型，使用Neo4j构建小规模知识图谱</w:t>
            </w:r>
          </w:p>
        </w:tc>
      </w:tr>
      <w:tr w14:paraId="76CA9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73C2D0">
            <w:pPr>
              <w:spacing w:after="0"/>
            </w:pPr>
            <w:r>
              <w:rPr>
                <w:rFonts w:ascii="宋体" w:hAnsi="宋体" w:eastAsia="宋体" w:cs="宋体"/>
                <w:sz w:val="20"/>
                <w:szCs w:val="20"/>
              </w:rPr>
              <w:t>实验四</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103CD6">
            <w:pPr>
              <w:spacing w:after="0"/>
            </w:pPr>
            <w:r>
              <w:rPr>
                <w:rFonts w:ascii="宋体" w:hAnsi="宋体" w:eastAsia="宋体" w:cs="宋体"/>
                <w:sz w:val="20"/>
                <w:szCs w:val="20"/>
              </w:rPr>
              <w:t>文创产品设计工作坊</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8EB3B6">
            <w:pPr>
              <w:spacing w:after="0"/>
            </w:pPr>
            <w:r>
              <w:rPr>
                <w:rFonts w:ascii="宋体" w:hAnsi="宋体" w:eastAsia="宋体" w:cs="宋体"/>
                <w:sz w:val="20"/>
                <w:szCs w:val="20"/>
              </w:rPr>
              <w:t>4</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6B3B2E">
            <w:pPr>
              <w:spacing w:after="0"/>
            </w:pPr>
            <w:r>
              <w:rPr>
                <w:rFonts w:ascii="宋体" w:hAnsi="宋体" w:eastAsia="宋体" w:cs="宋体"/>
                <w:sz w:val="20"/>
                <w:szCs w:val="20"/>
              </w:rPr>
              <w:t>创新</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4F5FEE3">
            <w:pPr>
              <w:spacing w:after="0"/>
            </w:pPr>
            <w:r>
              <w:rPr>
                <w:rFonts w:ascii="宋体" w:hAnsi="宋体" w:eastAsia="宋体" w:cs="宋体"/>
                <w:sz w:val="20"/>
                <w:szCs w:val="20"/>
              </w:rPr>
              <w:t>以屯堡文化符号为素材，分组设计文创产品方案并进行展示评比</w:t>
            </w:r>
          </w:p>
        </w:tc>
      </w:tr>
    </w:tbl>
    <w:p w14:paraId="1A1FCA97">
      <w:pPr>
        <w:pStyle w:val="3"/>
        <w:spacing w:before="300" w:after="200"/>
      </w:pPr>
      <w:bookmarkStart w:id="400" w:name="_Toc11629"/>
      <w:r>
        <w:rPr>
          <w:rFonts w:ascii="黑体" w:hAnsi="黑体" w:eastAsia="黑体" w:cs="黑体"/>
          <w:b/>
          <w:bCs/>
          <w:color w:val="000000"/>
          <w:sz w:val="28"/>
          <w:szCs w:val="28"/>
        </w:rPr>
        <w:t>E.5 考核方式</w:t>
      </w:r>
      <w:bookmarkEnd w:id="40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28D92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338FE1C">
            <w:pPr>
              <w:spacing w:after="0"/>
            </w:pPr>
            <w:r>
              <w:rPr>
                <w:rFonts w:ascii="宋体" w:hAnsi="宋体" w:eastAsia="宋体" w:cs="宋体"/>
                <w:b/>
                <w:bCs/>
                <w:color w:val="FFFFFF"/>
                <w:sz w:val="20"/>
                <w:szCs w:val="20"/>
              </w:rPr>
              <w:t>考核项目</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EFEDE77">
            <w:pPr>
              <w:spacing w:after="0"/>
            </w:pPr>
            <w:r>
              <w:rPr>
                <w:rFonts w:ascii="宋体" w:hAnsi="宋体" w:eastAsia="宋体" w:cs="宋体"/>
                <w:b/>
                <w:bCs/>
                <w:color w:val="FFFFFF"/>
                <w:sz w:val="20"/>
                <w:szCs w:val="20"/>
              </w:rPr>
              <w:t>占比</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9F8B352">
            <w:pPr>
              <w:spacing w:after="0"/>
            </w:pPr>
            <w:r>
              <w:rPr>
                <w:rFonts w:ascii="宋体" w:hAnsi="宋体" w:eastAsia="宋体" w:cs="宋体"/>
                <w:b/>
                <w:bCs/>
                <w:color w:val="FFFFFF"/>
                <w:sz w:val="20"/>
                <w:szCs w:val="20"/>
              </w:rPr>
              <w:t>说明</w:t>
            </w:r>
          </w:p>
        </w:tc>
      </w:tr>
      <w:tr w14:paraId="13CA7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8309D3">
            <w:pPr>
              <w:spacing w:after="0"/>
            </w:pPr>
            <w:r>
              <w:rPr>
                <w:rFonts w:ascii="宋体" w:hAnsi="宋体" w:eastAsia="宋体" w:cs="宋体"/>
                <w:sz w:val="20"/>
                <w:szCs w:val="20"/>
              </w:rPr>
              <w:t>平时成绩</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8EA2D1">
            <w:pPr>
              <w:spacing w:after="0"/>
            </w:pPr>
            <w:r>
              <w:rPr>
                <w:rFonts w:ascii="宋体" w:hAnsi="宋体" w:eastAsia="宋体" w:cs="宋体"/>
                <w:sz w:val="20"/>
                <w:szCs w:val="20"/>
              </w:rPr>
              <w:t>20%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54A530">
            <w:pPr>
              <w:spacing w:after="0"/>
            </w:pPr>
            <w:r>
              <w:rPr>
                <w:rFonts w:ascii="宋体" w:hAnsi="宋体" w:eastAsia="宋体" w:cs="宋体"/>
                <w:sz w:val="20"/>
                <w:szCs w:val="20"/>
              </w:rPr>
              <w:t>出勤、课堂参与、课后作业</w:t>
            </w:r>
          </w:p>
        </w:tc>
      </w:tr>
      <w:tr w14:paraId="3B338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C2A825">
            <w:pPr>
              <w:spacing w:after="0"/>
            </w:pPr>
            <w:r>
              <w:rPr>
                <w:rFonts w:ascii="宋体" w:hAnsi="宋体" w:eastAsia="宋体" w:cs="宋体"/>
                <w:sz w:val="20"/>
                <w:szCs w:val="20"/>
              </w:rPr>
              <w:t>实验成绩</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3685BB">
            <w:pPr>
              <w:spacing w:after="0"/>
            </w:pPr>
            <w:r>
              <w:rPr>
                <w:rFonts w:ascii="宋体" w:hAnsi="宋体" w:eastAsia="宋体" w:cs="宋体"/>
                <w:sz w:val="20"/>
                <w:szCs w:val="20"/>
              </w:rPr>
              <w:t>30%</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9F0C83">
            <w:pPr>
              <w:spacing w:after="0"/>
            </w:pPr>
            <w:r>
              <w:rPr>
                <w:rFonts w:ascii="宋体" w:hAnsi="宋体" w:eastAsia="宋体" w:cs="宋体"/>
                <w:sz w:val="20"/>
                <w:szCs w:val="20"/>
              </w:rPr>
              <w:t>4次实验的完成质量和实验报告</w:t>
            </w:r>
          </w:p>
        </w:tc>
      </w:tr>
      <w:tr w14:paraId="31CAC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20852A5">
            <w:pPr>
              <w:spacing w:after="0"/>
            </w:pPr>
            <w:r>
              <w:rPr>
                <w:rFonts w:ascii="宋体" w:hAnsi="宋体" w:eastAsia="宋体" w:cs="宋体"/>
                <w:sz w:val="20"/>
                <w:szCs w:val="20"/>
              </w:rPr>
              <w:t>期末考核</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EC88F3">
            <w:pPr>
              <w:spacing w:after="0"/>
            </w:pPr>
            <w:r>
              <w:rPr>
                <w:rFonts w:ascii="宋体" w:hAnsi="宋体" w:eastAsia="宋体" w:cs="宋体"/>
                <w:sz w:val="20"/>
                <w:szCs w:val="20"/>
              </w:rPr>
              <w:t>50%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87E27C">
            <w:pPr>
              <w:spacing w:after="0"/>
            </w:pPr>
            <w:r>
              <w:rPr>
                <w:rFonts w:ascii="宋体" w:hAnsi="宋体" w:eastAsia="宋体" w:cs="宋体"/>
                <w:sz w:val="20"/>
                <w:szCs w:val="20"/>
              </w:rPr>
              <w:t>课程论文或项目方案（二选一）</w:t>
            </w:r>
          </w:p>
        </w:tc>
      </w:tr>
    </w:tbl>
    <w:p w14:paraId="77397C9E">
      <w:pPr>
        <w:spacing w:after="120" w:line="360" w:lineRule="auto"/>
        <w:jc w:val="both"/>
      </w:pPr>
      <w:r>
        <w:rPr>
          <w:rFonts w:ascii="宋体" w:hAnsi="宋体" w:eastAsia="宋体" w:cs="宋体"/>
          <w:b/>
          <w:bCs/>
          <w:sz w:val="24"/>
          <w:szCs w:val="24"/>
        </w:rPr>
        <w:t>课程论文要求。</w:t>
      </w:r>
      <w:r>
        <w:rPr>
          <w:rFonts w:ascii="宋体" w:hAnsi="宋体" w:eastAsia="宋体" w:cs="宋体"/>
          <w:sz w:val="24"/>
          <w:szCs w:val="24"/>
        </w:rPr>
        <w:t xml:space="preserve"> 围绕屯堡文化数字化传承或旅游活化选题，撰写一篇5000字以上的学术论文，要求有文献综述、理论框架和案例分析。</w:t>
      </w:r>
    </w:p>
    <w:p w14:paraId="28908148">
      <w:pPr>
        <w:spacing w:after="120" w:line="360" w:lineRule="auto"/>
        <w:jc w:val="both"/>
      </w:pPr>
      <w:r>
        <w:rPr>
          <w:rFonts w:ascii="宋体" w:hAnsi="宋体" w:eastAsia="宋体" w:cs="宋体"/>
          <w:b/>
          <w:bCs/>
          <w:sz w:val="24"/>
          <w:szCs w:val="24"/>
        </w:rPr>
        <w:t>项目方案要求。</w:t>
      </w:r>
      <w:r>
        <w:rPr>
          <w:rFonts w:ascii="宋体" w:hAnsi="宋体" w:eastAsia="宋体" w:cs="宋体"/>
          <w:sz w:val="24"/>
          <w:szCs w:val="24"/>
        </w:rPr>
        <w:t xml:space="preserve"> 分组（3-5人）完成一份完整的"屯堡文化数字化保护与旅游活化项目方案"，包括项目背景、技术方案、产品设计、运营计划和预算估算。鼓励结合安顺本地实际进行选题。</w:t>
      </w:r>
    </w:p>
    <w:p w14:paraId="1A704256">
      <w:pPr>
        <w:pStyle w:val="3"/>
        <w:spacing w:before="300" w:after="200"/>
      </w:pPr>
      <w:bookmarkStart w:id="401" w:name="_Toc29438"/>
      <w:r>
        <w:rPr>
          <w:rFonts w:ascii="黑体" w:hAnsi="黑体" w:eastAsia="黑体" w:cs="黑体"/>
          <w:b/>
          <w:bCs/>
          <w:color w:val="000000"/>
          <w:sz w:val="28"/>
          <w:szCs w:val="28"/>
        </w:rPr>
        <w:t>E.6 推荐教材与参考资料</w:t>
      </w:r>
      <w:bookmarkEnd w:id="401"/>
    </w:p>
    <w:p w14:paraId="61F20538">
      <w:pPr>
        <w:spacing w:after="120" w:line="360" w:lineRule="auto"/>
        <w:jc w:val="both"/>
      </w:pPr>
      <w:r>
        <w:rPr>
          <w:rFonts w:ascii="宋体" w:hAnsi="宋体" w:eastAsia="宋体" w:cs="宋体"/>
          <w:b/>
          <w:bCs/>
          <w:sz w:val="24"/>
          <w:szCs w:val="24"/>
        </w:rPr>
        <w:t>主教材。</w:t>
      </w:r>
      <w:r>
        <w:rPr>
          <w:rFonts w:ascii="宋体" w:hAnsi="宋体" w:eastAsia="宋体" w:cs="宋体"/>
          <w:sz w:val="24"/>
          <w:szCs w:val="24"/>
        </w:rPr>
        <w:t xml:space="preserve"> 《屯堡文化数字化传承与旅游活化》（本书）</w:t>
      </w:r>
    </w:p>
    <w:p w14:paraId="64097D39">
      <w:pPr>
        <w:spacing w:after="120" w:line="360" w:lineRule="auto"/>
        <w:jc w:val="both"/>
      </w:pPr>
      <w:r>
        <w:rPr>
          <w:rFonts w:ascii="宋体" w:hAnsi="宋体" w:eastAsia="宋体" w:cs="宋体"/>
          <w:b/>
          <w:bCs/>
          <w:sz w:val="24"/>
          <w:szCs w:val="24"/>
        </w:rPr>
        <w:t>参考书目。</w:t>
      </w:r>
    </w:p>
    <w:p w14:paraId="22257A8A">
      <w:pPr>
        <w:pStyle w:val="19"/>
        <w:numPr>
          <w:ilvl w:val="0"/>
          <w:numId w:val="2"/>
        </w:numPr>
        <w:spacing w:after="60" w:line="340" w:lineRule="auto"/>
      </w:pPr>
      <w:r>
        <w:rPr>
          <w:rFonts w:ascii="宋体" w:hAnsi="宋体" w:eastAsia="宋体" w:cs="宋体"/>
          <w:sz w:val="24"/>
          <w:szCs w:val="24"/>
        </w:rPr>
        <w:t>《安顺屯堡文化研究》，贵州人民出版社</w:t>
      </w:r>
    </w:p>
    <w:p w14:paraId="269DB01C">
      <w:pPr>
        <w:pStyle w:val="19"/>
        <w:numPr>
          <w:ilvl w:val="0"/>
          <w:numId w:val="2"/>
        </w:numPr>
        <w:spacing w:after="60" w:line="340" w:lineRule="auto"/>
      </w:pPr>
      <w:r>
        <w:rPr>
          <w:rFonts w:ascii="宋体" w:hAnsi="宋体" w:eastAsia="宋体" w:cs="宋体"/>
          <w:sz w:val="24"/>
          <w:szCs w:val="24"/>
        </w:rPr>
        <w:t>《文化遗产数字化保护技术》，科学出版社</w:t>
      </w:r>
    </w:p>
    <w:p w14:paraId="2A058775">
      <w:pPr>
        <w:pStyle w:val="19"/>
        <w:numPr>
          <w:ilvl w:val="0"/>
          <w:numId w:val="2"/>
        </w:numPr>
        <w:spacing w:after="60" w:line="340" w:lineRule="auto"/>
      </w:pPr>
      <w:r>
        <w:rPr>
          <w:rFonts w:ascii="宋体" w:hAnsi="宋体" w:eastAsia="宋体" w:cs="宋体"/>
          <w:sz w:val="24"/>
          <w:szCs w:val="24"/>
        </w:rPr>
        <w:t>《体验经济》，B. Joseph Pine II &amp; James H. Gilmore，机械工业出版社</w:t>
      </w:r>
    </w:p>
    <w:p w14:paraId="69D601C3">
      <w:pPr>
        <w:pStyle w:val="19"/>
        <w:numPr>
          <w:ilvl w:val="0"/>
          <w:numId w:val="2"/>
        </w:numPr>
        <w:spacing w:after="60" w:line="340" w:lineRule="auto"/>
      </w:pPr>
      <w:r>
        <w:rPr>
          <w:rFonts w:ascii="宋体" w:hAnsi="宋体" w:eastAsia="宋体" w:cs="宋体"/>
          <w:sz w:val="24"/>
          <w:szCs w:val="24"/>
        </w:rPr>
        <w:t>《文化创意产品设计》，中国轻工业出版社</w:t>
      </w:r>
    </w:p>
    <w:p w14:paraId="220DC99B">
      <w:pPr>
        <w:pStyle w:val="19"/>
        <w:numPr>
          <w:ilvl w:val="0"/>
          <w:numId w:val="2"/>
        </w:numPr>
        <w:spacing w:after="60" w:line="340" w:lineRule="auto"/>
      </w:pPr>
      <w:r>
        <w:rPr>
          <w:rFonts w:ascii="宋体" w:hAnsi="宋体" w:eastAsia="宋体" w:cs="宋体"/>
          <w:sz w:val="24"/>
          <w:szCs w:val="24"/>
        </w:rPr>
        <w:t>《屯堡文化研究文集》，贵州大学出版社</w:t>
      </w:r>
    </w:p>
    <w:p w14:paraId="6DAAFED9">
      <w:pPr>
        <w:pStyle w:val="19"/>
        <w:numPr>
          <w:ilvl w:val="0"/>
          <w:numId w:val="2"/>
        </w:numPr>
        <w:spacing w:after="60" w:line="340" w:lineRule="auto"/>
      </w:pPr>
      <w:r>
        <w:rPr>
          <w:rFonts w:ascii="宋体" w:hAnsi="宋体" w:eastAsia="宋体" w:cs="宋体"/>
          <w:sz w:val="24"/>
          <w:szCs w:val="24"/>
        </w:rPr>
        <w:t>The CIDOC Conceptual Reference Model (CIDOC-CRM), ICOM/CIDOC</w:t>
      </w:r>
    </w:p>
    <w:p w14:paraId="0C2D7FEB">
      <w:pPr>
        <w:pStyle w:val="19"/>
        <w:numPr>
          <w:ilvl w:val="0"/>
          <w:numId w:val="2"/>
        </w:numPr>
        <w:spacing w:after="60" w:line="340" w:lineRule="auto"/>
      </w:pPr>
      <w:r>
        <w:rPr>
          <w:rFonts w:ascii="宋体" w:hAnsi="宋体" w:eastAsia="宋体" w:cs="宋体"/>
          <w:sz w:val="24"/>
          <w:szCs w:val="24"/>
        </w:rPr>
        <w:t>The London Charter for the Computer-based Visualisation of Cultural Heritage</w:t>
      </w:r>
    </w:p>
    <w:p w14:paraId="0769A738">
      <w:pPr>
        <w:spacing w:after="120" w:line="360" w:lineRule="auto"/>
        <w:jc w:val="both"/>
      </w:pPr>
      <w:r>
        <w:rPr>
          <w:rFonts w:ascii="宋体" w:hAnsi="宋体" w:eastAsia="宋体" w:cs="宋体"/>
          <w:b/>
          <w:bCs/>
          <w:sz w:val="24"/>
          <w:szCs w:val="24"/>
        </w:rPr>
        <w:t>数字资源。</w:t>
      </w:r>
    </w:p>
    <w:p w14:paraId="4D480744">
      <w:pPr>
        <w:pStyle w:val="19"/>
        <w:numPr>
          <w:ilvl w:val="0"/>
          <w:numId w:val="1"/>
        </w:numPr>
        <w:spacing w:after="60" w:line="340" w:lineRule="auto"/>
      </w:pPr>
      <w:r>
        <w:rPr>
          <w:rFonts w:ascii="宋体" w:hAnsi="宋体" w:eastAsia="宋体" w:cs="宋体"/>
          <w:sz w:val="24"/>
          <w:szCs w:val="24"/>
        </w:rPr>
        <w:t>数字敦煌 (https://www.e-dunhuang.com/)</w:t>
      </w:r>
    </w:p>
    <w:p w14:paraId="04B435A7">
      <w:pPr>
        <w:pStyle w:val="19"/>
        <w:numPr>
          <w:ilvl w:val="0"/>
          <w:numId w:val="1"/>
        </w:numPr>
        <w:spacing w:after="60" w:line="340" w:lineRule="auto"/>
      </w:pPr>
      <w:r>
        <w:rPr>
          <w:rFonts w:ascii="宋体" w:hAnsi="宋体" w:eastAsia="宋体" w:cs="宋体"/>
          <w:sz w:val="24"/>
          <w:szCs w:val="24"/>
        </w:rPr>
        <w:t>数字故宫 (https://www.dpm.org.cn/)</w:t>
      </w:r>
    </w:p>
    <w:p w14:paraId="0301F41A">
      <w:pPr>
        <w:pStyle w:val="19"/>
        <w:numPr>
          <w:ilvl w:val="0"/>
          <w:numId w:val="1"/>
        </w:numPr>
        <w:spacing w:after="60" w:line="340" w:lineRule="auto"/>
      </w:pPr>
      <w:r>
        <w:rPr>
          <w:rFonts w:ascii="宋体" w:hAnsi="宋体" w:eastAsia="宋体" w:cs="宋体"/>
          <w:sz w:val="24"/>
          <w:szCs w:val="24"/>
        </w:rPr>
        <w:t>CIDOC-CRM官网 (https://www.cidoc-crm.org/)</w:t>
      </w:r>
    </w:p>
    <w:p w14:paraId="557B4464">
      <w:pPr>
        <w:pStyle w:val="19"/>
        <w:numPr>
          <w:ilvl w:val="0"/>
          <w:numId w:val="1"/>
        </w:numPr>
        <w:spacing w:after="60" w:line="340" w:lineRule="auto"/>
      </w:pPr>
      <w:r>
        <w:rPr>
          <w:rFonts w:ascii="宋体" w:hAnsi="宋体" w:eastAsia="宋体" w:cs="宋体"/>
          <w:sz w:val="24"/>
          <w:szCs w:val="24"/>
        </w:rPr>
        <w:t>屯堡文化知识图谱（安顺学院建设）</w:t>
      </w:r>
    </w:p>
    <w:p w14:paraId="21F12425">
      <w:pPr>
        <w:spacing w:after="120" w:line="360" w:lineRule="auto"/>
        <w:jc w:val="both"/>
      </w:pPr>
      <w:r>
        <w:rPr>
          <w:rFonts w:ascii="宋体" w:hAnsi="宋体" w:eastAsia="宋体" w:cs="宋体"/>
          <w:b/>
          <w:bCs/>
          <w:sz w:val="24"/>
          <w:szCs w:val="24"/>
        </w:rPr>
        <w:t>田野考察建议地点。</w:t>
      </w:r>
    </w:p>
    <w:p w14:paraId="215A7DF4">
      <w:pPr>
        <w:pStyle w:val="19"/>
        <w:numPr>
          <w:ilvl w:val="0"/>
          <w:numId w:val="1"/>
        </w:numPr>
        <w:spacing w:after="60" w:line="340" w:lineRule="auto"/>
      </w:pPr>
      <w:r>
        <w:rPr>
          <w:rFonts w:ascii="宋体" w:hAnsi="宋体" w:eastAsia="宋体" w:cs="宋体"/>
          <w:sz w:val="24"/>
          <w:szCs w:val="24"/>
        </w:rPr>
        <w:t>天龙屯堡景区</w:t>
      </w:r>
    </w:p>
    <w:p w14:paraId="5D53D680">
      <w:pPr>
        <w:pStyle w:val="19"/>
        <w:numPr>
          <w:ilvl w:val="0"/>
          <w:numId w:val="1"/>
        </w:numPr>
        <w:spacing w:after="60" w:line="340" w:lineRule="auto"/>
      </w:pPr>
      <w:r>
        <w:rPr>
          <w:rFonts w:ascii="宋体" w:hAnsi="宋体" w:eastAsia="宋体" w:cs="宋体"/>
          <w:sz w:val="24"/>
          <w:szCs w:val="24"/>
        </w:rPr>
        <w:t>本寨古建筑群</w:t>
      </w:r>
    </w:p>
    <w:p w14:paraId="4F8F7F10">
      <w:pPr>
        <w:pStyle w:val="19"/>
        <w:numPr>
          <w:ilvl w:val="0"/>
          <w:numId w:val="1"/>
        </w:numPr>
        <w:spacing w:after="60" w:line="340" w:lineRule="auto"/>
      </w:pPr>
      <w:r>
        <w:rPr>
          <w:rFonts w:ascii="宋体" w:hAnsi="宋体" w:eastAsia="宋体" w:cs="宋体"/>
          <w:sz w:val="24"/>
          <w:szCs w:val="24"/>
        </w:rPr>
        <w:t>云山屯古建筑群</w:t>
      </w:r>
    </w:p>
    <w:p w14:paraId="518DF726">
      <w:pPr>
        <w:pStyle w:val="19"/>
        <w:numPr>
          <w:ilvl w:val="0"/>
          <w:numId w:val="1"/>
        </w:numPr>
        <w:spacing w:after="60" w:line="340" w:lineRule="auto"/>
      </w:pPr>
      <w:r>
        <w:rPr>
          <w:rFonts w:ascii="宋体" w:hAnsi="宋体" w:eastAsia="宋体" w:cs="宋体"/>
          <w:sz w:val="24"/>
          <w:szCs w:val="24"/>
        </w:rPr>
        <w:t>鲍家屯古水利系统</w:t>
      </w:r>
    </w:p>
    <w:p w14:paraId="345F2FB2">
      <w:pPr>
        <w:pStyle w:val="19"/>
        <w:numPr>
          <w:ilvl w:val="0"/>
          <w:numId w:val="1"/>
        </w:numPr>
        <w:spacing w:after="60" w:line="340" w:lineRule="auto"/>
      </w:pPr>
      <w:r>
        <w:rPr>
          <w:rFonts w:ascii="宋体" w:hAnsi="宋体" w:eastAsia="宋体" w:cs="宋体"/>
          <w:sz w:val="24"/>
          <w:szCs w:val="24"/>
        </w:rPr>
        <w:t>旧州古镇</w:t>
      </w:r>
    </w:p>
    <w:p w14:paraId="59839B89">
      <w:pPr>
        <w:pStyle w:val="19"/>
        <w:numPr>
          <w:ilvl w:val="0"/>
          <w:numId w:val="1"/>
        </w:numPr>
        <w:spacing w:after="60" w:line="340" w:lineRule="auto"/>
      </w:pPr>
      <w:r>
        <w:rPr>
          <w:rFonts w:ascii="宋体" w:hAnsi="宋体" w:eastAsia="宋体" w:cs="宋体"/>
          <w:sz w:val="24"/>
          <w:szCs w:val="24"/>
        </w:rPr>
        <w:t>安顺地戏传习所</w:t>
      </w:r>
    </w:p>
    <w:p w14:paraId="5CCEC642">
      <w:r>
        <w:br w:type="page"/>
      </w:r>
    </w:p>
    <w:p w14:paraId="3E681574">
      <w:pPr>
        <w:pStyle w:val="2"/>
        <w:spacing w:before="400" w:after="200"/>
      </w:pPr>
      <w:bookmarkStart w:id="402" w:name="_Toc6876"/>
      <w:r>
        <w:rPr>
          <w:rFonts w:ascii="黑体" w:hAnsi="黑体" w:eastAsia="黑体" w:cs="黑体"/>
          <w:b/>
          <w:bCs/>
          <w:color w:val="1F4E79"/>
          <w:sz w:val="32"/>
          <w:szCs w:val="32"/>
        </w:rPr>
        <w:t>附录F 屯堡文化数字化实训项目</w:t>
      </w:r>
      <w:bookmarkEnd w:id="402"/>
    </w:p>
    <w:p w14:paraId="443BACDD">
      <w:pPr>
        <w:pStyle w:val="3"/>
        <w:spacing w:before="300" w:after="200"/>
      </w:pPr>
      <w:bookmarkStart w:id="403" w:name="_Toc2369"/>
      <w:r>
        <w:rPr>
          <w:rFonts w:ascii="黑体" w:hAnsi="黑体" w:eastAsia="黑体" w:cs="黑体"/>
          <w:b/>
          <w:bCs/>
          <w:color w:val="000000"/>
          <w:sz w:val="28"/>
          <w:szCs w:val="28"/>
        </w:rPr>
        <w:t>F.1 项目总体说明</w:t>
      </w:r>
      <w:bookmarkEnd w:id="403"/>
    </w:p>
    <w:p w14:paraId="2487CE36">
      <w:pPr>
        <w:spacing w:after="120" w:line="360" w:lineRule="auto"/>
        <w:jc w:val="both"/>
      </w:pPr>
      <w:r>
        <w:rPr>
          <w:rFonts w:ascii="宋体" w:hAnsi="宋体" w:eastAsia="宋体" w:cs="宋体"/>
          <w:sz w:val="24"/>
          <w:szCs w:val="24"/>
        </w:rPr>
        <w:t>本附录提供8个实训项目，覆盖数字化采集、处理、管理、展示和文创开发等环节。每个项目包含目标、条件、步骤、成果要求和评价标准。实训项目可按教学需要选择组合，建议总实训学时不少于32学时（含课外）。</w:t>
      </w:r>
    </w:p>
    <w:p w14:paraId="68EFD880">
      <w:pPr>
        <w:pStyle w:val="3"/>
        <w:spacing w:before="300" w:after="200"/>
      </w:pPr>
      <w:bookmarkStart w:id="404" w:name="_Toc23811"/>
      <w:r>
        <w:rPr>
          <w:rFonts w:ascii="黑体" w:hAnsi="黑体" w:eastAsia="黑体" w:cs="黑体"/>
          <w:b/>
          <w:bCs/>
          <w:color w:val="000000"/>
          <w:sz w:val="28"/>
          <w:szCs w:val="28"/>
        </w:rPr>
        <w:t>F.2 实训项目列表</w:t>
      </w:r>
      <w:bookmarkEnd w:id="404"/>
    </w:p>
    <w:p w14:paraId="22FCD7DA">
      <w:pPr>
        <w:pStyle w:val="4"/>
        <w:spacing w:before="300" w:after="200"/>
      </w:pPr>
      <w:bookmarkStart w:id="405" w:name="_Toc21016"/>
      <w:r>
        <w:rPr>
          <w:rFonts w:ascii="黑体" w:hAnsi="黑体" w:eastAsia="黑体" w:cs="黑体"/>
          <w:b/>
          <w:bCs/>
          <w:color w:val="000000"/>
          <w:sz w:val="26"/>
          <w:szCs w:val="26"/>
        </w:rPr>
        <w:t>项目一：屯堡村寨无人机航拍与正射影像制作</w:t>
      </w:r>
      <w:bookmarkEnd w:id="405"/>
    </w:p>
    <w:p w14:paraId="0A6A50DD">
      <w:pPr>
        <w:spacing w:after="120" w:line="360" w:lineRule="auto"/>
        <w:jc w:val="both"/>
      </w:pPr>
      <w:r>
        <w:rPr>
          <w:rFonts w:ascii="宋体" w:hAnsi="宋体" w:eastAsia="宋体" w:cs="宋体"/>
          <w:b/>
          <w:bCs/>
          <w:sz w:val="24"/>
          <w:szCs w:val="24"/>
        </w:rPr>
        <w:t>实训目标。</w:t>
      </w:r>
      <w:r>
        <w:rPr>
          <w:rFonts w:ascii="宋体" w:hAnsi="宋体" w:eastAsia="宋体" w:cs="宋体"/>
          <w:sz w:val="24"/>
          <w:szCs w:val="24"/>
        </w:rPr>
        <w:t xml:space="preserve"> 掌握无人机航拍的基本操作和正射影像制作流程。</w:t>
      </w:r>
    </w:p>
    <w:p w14:paraId="6131FD50">
      <w:pPr>
        <w:spacing w:after="120" w:line="360" w:lineRule="auto"/>
        <w:jc w:val="both"/>
      </w:pPr>
      <w:r>
        <w:rPr>
          <w:rFonts w:ascii="宋体" w:hAnsi="宋体" w:eastAsia="宋体" w:cs="宋体"/>
          <w:b/>
          <w:bCs/>
          <w:sz w:val="24"/>
          <w:szCs w:val="24"/>
        </w:rPr>
        <w:t>实训条件。</w:t>
      </w:r>
    </w:p>
    <w:p w14:paraId="0D625638">
      <w:pPr>
        <w:pStyle w:val="19"/>
        <w:numPr>
          <w:ilvl w:val="0"/>
          <w:numId w:val="1"/>
        </w:numPr>
        <w:spacing w:after="60" w:line="340" w:lineRule="auto"/>
      </w:pPr>
      <w:r>
        <w:rPr>
          <w:rFonts w:ascii="宋体" w:hAnsi="宋体" w:eastAsia="宋体" w:cs="宋体"/>
          <w:sz w:val="24"/>
          <w:szCs w:val="24"/>
        </w:rPr>
        <w:t>设备：消费级无人机（如DJI Mini 4 Pro）1台、笔记本电脑1台</w:t>
      </w:r>
    </w:p>
    <w:p w14:paraId="6A6000FB">
      <w:pPr>
        <w:pStyle w:val="19"/>
        <w:numPr>
          <w:ilvl w:val="0"/>
          <w:numId w:val="1"/>
        </w:numPr>
        <w:spacing w:after="60" w:line="340" w:lineRule="auto"/>
      </w:pPr>
      <w:r>
        <w:rPr>
          <w:rFonts w:ascii="宋体" w:hAnsi="宋体" w:eastAsia="宋体" w:cs="宋体"/>
          <w:sz w:val="24"/>
          <w:szCs w:val="24"/>
        </w:rPr>
        <w:t>软件：DJI Fly（飞行控制）、WebODM或Pix4Dmatic（正射影像生成）</w:t>
      </w:r>
    </w:p>
    <w:p w14:paraId="07DF7768">
      <w:pPr>
        <w:pStyle w:val="19"/>
        <w:numPr>
          <w:ilvl w:val="0"/>
          <w:numId w:val="1"/>
        </w:numPr>
        <w:spacing w:after="60" w:line="340" w:lineRule="auto"/>
      </w:pPr>
      <w:r>
        <w:rPr>
          <w:rFonts w:ascii="宋体" w:hAnsi="宋体" w:eastAsia="宋体" w:cs="宋体"/>
          <w:sz w:val="24"/>
          <w:szCs w:val="24"/>
        </w:rPr>
        <w:t>场地：天龙屯堡或本寨外围（需提前报备空域）</w:t>
      </w:r>
    </w:p>
    <w:p w14:paraId="1B9FD2D6">
      <w:pPr>
        <w:pStyle w:val="19"/>
        <w:numPr>
          <w:ilvl w:val="0"/>
          <w:numId w:val="1"/>
        </w:numPr>
        <w:spacing w:after="60" w:line="340" w:lineRule="auto"/>
      </w:pPr>
      <w:r>
        <w:rPr>
          <w:rFonts w:ascii="宋体" w:hAnsi="宋体" w:eastAsia="宋体" w:cs="宋体"/>
          <w:sz w:val="24"/>
          <w:szCs w:val="24"/>
        </w:rPr>
        <w:t>学时：4学时（含课外准备2学时）</w:t>
      </w:r>
    </w:p>
    <w:p w14:paraId="7C61755C">
      <w:pPr>
        <w:spacing w:after="120" w:line="360" w:lineRule="auto"/>
        <w:jc w:val="both"/>
      </w:pPr>
      <w:r>
        <w:rPr>
          <w:rFonts w:ascii="宋体" w:hAnsi="宋体" w:eastAsia="宋体" w:cs="宋体"/>
          <w:b/>
          <w:bCs/>
          <w:sz w:val="24"/>
          <w:szCs w:val="24"/>
        </w:rPr>
        <w:t>实训步骤。</w:t>
      </w:r>
    </w:p>
    <w:p w14:paraId="2B4B31C3">
      <w:pPr>
        <w:pStyle w:val="19"/>
        <w:numPr>
          <w:ilvl w:val="0"/>
          <w:numId w:val="2"/>
        </w:numPr>
        <w:spacing w:after="60" w:line="340" w:lineRule="auto"/>
      </w:pPr>
      <w:r>
        <w:rPr>
          <w:rFonts w:ascii="宋体" w:hAnsi="宋体" w:eastAsia="宋体" w:cs="宋体"/>
          <w:sz w:val="24"/>
          <w:szCs w:val="24"/>
        </w:rPr>
        <w:t>课前学习无人机安全飞行规范和空域管理规定（课外）</w:t>
      </w:r>
    </w:p>
    <w:p w14:paraId="5233769C">
      <w:pPr>
        <w:pStyle w:val="19"/>
        <w:numPr>
          <w:ilvl w:val="0"/>
          <w:numId w:val="2"/>
        </w:numPr>
        <w:spacing w:after="60" w:line="340" w:lineRule="auto"/>
      </w:pPr>
      <w:r>
        <w:rPr>
          <w:rFonts w:ascii="宋体" w:hAnsi="宋体" w:eastAsia="宋体" w:cs="宋体"/>
          <w:sz w:val="24"/>
          <w:szCs w:val="24"/>
        </w:rPr>
        <w:t>航线规划：在卫星地图上规划"井"字形航线，设置航向重叠度80%、旁向重叠度70%</w:t>
      </w:r>
    </w:p>
    <w:p w14:paraId="7B30FDA3">
      <w:pPr>
        <w:pStyle w:val="19"/>
        <w:numPr>
          <w:ilvl w:val="0"/>
          <w:numId w:val="2"/>
        </w:numPr>
        <w:spacing w:after="60" w:line="340" w:lineRule="auto"/>
      </w:pPr>
      <w:r>
        <w:rPr>
          <w:rFonts w:ascii="宋体" w:hAnsi="宋体" w:eastAsia="宋体" w:cs="宋体"/>
          <w:sz w:val="24"/>
          <w:szCs w:val="24"/>
        </w:rPr>
        <w:t>外业飞行：在教师指导下完成航拍（约30分钟）</w:t>
      </w:r>
    </w:p>
    <w:p w14:paraId="7259EE54">
      <w:pPr>
        <w:pStyle w:val="19"/>
        <w:numPr>
          <w:ilvl w:val="0"/>
          <w:numId w:val="2"/>
        </w:numPr>
        <w:spacing w:after="60" w:line="340" w:lineRule="auto"/>
      </w:pPr>
      <w:r>
        <w:rPr>
          <w:rFonts w:ascii="宋体" w:hAnsi="宋体" w:eastAsia="宋体" w:cs="宋体"/>
          <w:sz w:val="24"/>
          <w:szCs w:val="24"/>
        </w:rPr>
        <w:t>数据导入：将航拍照片导入正射影像处理软件</w:t>
      </w:r>
    </w:p>
    <w:p w14:paraId="31D20007">
      <w:pPr>
        <w:pStyle w:val="19"/>
        <w:numPr>
          <w:ilvl w:val="0"/>
          <w:numId w:val="2"/>
        </w:numPr>
        <w:spacing w:after="60" w:line="340" w:lineRule="auto"/>
      </w:pPr>
      <w:r>
        <w:rPr>
          <w:rFonts w:ascii="宋体" w:hAnsi="宋体" w:eastAsia="宋体" w:cs="宋体"/>
          <w:sz w:val="24"/>
          <w:szCs w:val="24"/>
        </w:rPr>
        <w:t>空三解算：软件自动匹配特征点，生成稀疏点云</w:t>
      </w:r>
    </w:p>
    <w:p w14:paraId="3E8518A7">
      <w:pPr>
        <w:pStyle w:val="19"/>
        <w:numPr>
          <w:ilvl w:val="0"/>
          <w:numId w:val="2"/>
        </w:numPr>
        <w:spacing w:after="60" w:line="340" w:lineRule="auto"/>
      </w:pPr>
      <w:r>
        <w:rPr>
          <w:rFonts w:ascii="宋体" w:hAnsi="宋体" w:eastAsia="宋体" w:cs="宋体"/>
          <w:sz w:val="24"/>
          <w:szCs w:val="24"/>
        </w:rPr>
        <w:t>正射影像生成：生成高分辨率正射影像图</w:t>
      </w:r>
    </w:p>
    <w:p w14:paraId="642FD253">
      <w:pPr>
        <w:pStyle w:val="19"/>
        <w:numPr>
          <w:ilvl w:val="0"/>
          <w:numId w:val="2"/>
        </w:numPr>
        <w:spacing w:after="60" w:line="340" w:lineRule="auto"/>
      </w:pPr>
      <w:r>
        <w:rPr>
          <w:rFonts w:ascii="宋体" w:hAnsi="宋体" w:eastAsia="宋体" w:cs="宋体"/>
          <w:sz w:val="24"/>
          <w:szCs w:val="24"/>
        </w:rPr>
        <w:t>精度评估：测量正射影像中已知距离，评估精度</w:t>
      </w:r>
    </w:p>
    <w:p w14:paraId="63FC94E9">
      <w:pPr>
        <w:spacing w:after="120" w:line="360" w:lineRule="auto"/>
        <w:jc w:val="both"/>
      </w:pPr>
      <w:r>
        <w:rPr>
          <w:rFonts w:ascii="宋体" w:hAnsi="宋体" w:eastAsia="宋体" w:cs="宋体"/>
          <w:b/>
          <w:bCs/>
          <w:sz w:val="24"/>
          <w:szCs w:val="24"/>
        </w:rPr>
        <w:t>成果要求。</w:t>
      </w:r>
      <w:r>
        <w:rPr>
          <w:rFonts w:ascii="宋体" w:hAnsi="宋体" w:eastAsia="宋体" w:cs="宋体"/>
          <w:sz w:val="24"/>
          <w:szCs w:val="24"/>
        </w:rPr>
        <w:t xml:space="preserve"> 提交一份正射影像图（TIFF格式）、一份精度评估报告和一份操作记录。</w:t>
      </w:r>
    </w:p>
    <w:p w14:paraId="033E8D2E">
      <w:pPr>
        <w:spacing w:after="120" w:line="360" w:lineRule="auto"/>
        <w:jc w:val="both"/>
      </w:pPr>
      <w:r>
        <w:rPr>
          <w:rFonts w:ascii="宋体" w:hAnsi="宋体" w:eastAsia="宋体" w:cs="宋体"/>
          <w:b/>
          <w:bCs/>
          <w:sz w:val="24"/>
          <w:szCs w:val="24"/>
        </w:rPr>
        <w:t>评价标准。</w:t>
      </w:r>
    </w:p>
    <w:p w14:paraId="0DF16831">
      <w:pPr>
        <w:pStyle w:val="19"/>
        <w:numPr>
          <w:ilvl w:val="0"/>
          <w:numId w:val="1"/>
        </w:numPr>
        <w:spacing w:after="60" w:line="340" w:lineRule="auto"/>
      </w:pPr>
      <w:r>
        <w:rPr>
          <w:rFonts w:ascii="宋体" w:hAnsi="宋体" w:eastAsia="宋体" w:cs="宋体"/>
          <w:sz w:val="24"/>
          <w:szCs w:val="24"/>
        </w:rPr>
        <w:t>正射影像覆盖完整、拼接无错位（40%）</w:t>
      </w:r>
    </w:p>
    <w:p w14:paraId="23459575">
      <w:pPr>
        <w:pStyle w:val="19"/>
        <w:numPr>
          <w:ilvl w:val="0"/>
          <w:numId w:val="1"/>
        </w:numPr>
        <w:spacing w:after="60" w:line="340" w:lineRule="auto"/>
      </w:pPr>
      <w:r>
        <w:rPr>
          <w:rFonts w:ascii="宋体" w:hAnsi="宋体" w:eastAsia="宋体" w:cs="宋体"/>
          <w:sz w:val="24"/>
          <w:szCs w:val="24"/>
        </w:rPr>
        <w:t>精度评估方法正确、结果合理（30%）</w:t>
      </w:r>
    </w:p>
    <w:p w14:paraId="5BB75077">
      <w:pPr>
        <w:pStyle w:val="19"/>
        <w:numPr>
          <w:ilvl w:val="0"/>
          <w:numId w:val="1"/>
        </w:numPr>
        <w:spacing w:after="60" w:line="340" w:lineRule="auto"/>
      </w:pPr>
      <w:r>
        <w:rPr>
          <w:rFonts w:ascii="宋体" w:hAnsi="宋体" w:eastAsia="宋体" w:cs="宋体"/>
          <w:sz w:val="24"/>
          <w:szCs w:val="24"/>
        </w:rPr>
        <w:t>操作记录完整规范（30%）</w:t>
      </w:r>
    </w:p>
    <w:p w14:paraId="639929E1">
      <w:pPr>
        <w:pStyle w:val="4"/>
        <w:spacing w:before="300" w:after="200"/>
      </w:pPr>
      <w:bookmarkStart w:id="406" w:name="_Toc31288"/>
      <w:r>
        <w:rPr>
          <w:rFonts w:ascii="黑体" w:hAnsi="黑体" w:eastAsia="黑体" w:cs="黑体"/>
          <w:b/>
          <w:bCs/>
          <w:color w:val="000000"/>
          <w:sz w:val="26"/>
          <w:szCs w:val="26"/>
        </w:rPr>
        <w:t>项目二：屯堡建筑三维摄影测量建模</w:t>
      </w:r>
      <w:bookmarkEnd w:id="406"/>
    </w:p>
    <w:p w14:paraId="1DE0B68E">
      <w:pPr>
        <w:spacing w:after="120" w:line="360" w:lineRule="auto"/>
        <w:jc w:val="both"/>
      </w:pPr>
      <w:r>
        <w:rPr>
          <w:rFonts w:ascii="宋体" w:hAnsi="宋体" w:eastAsia="宋体" w:cs="宋体"/>
          <w:b/>
          <w:bCs/>
          <w:sz w:val="24"/>
          <w:szCs w:val="24"/>
        </w:rPr>
        <w:t>实训目标。</w:t>
      </w:r>
      <w:r>
        <w:rPr>
          <w:rFonts w:ascii="宋体" w:hAnsi="宋体" w:eastAsia="宋体" w:cs="宋体"/>
          <w:sz w:val="24"/>
          <w:szCs w:val="24"/>
        </w:rPr>
        <w:t xml:space="preserve"> 掌握摄影测量的基本原理和三维重建操作。</w:t>
      </w:r>
    </w:p>
    <w:p w14:paraId="5C8ED3D4">
      <w:pPr>
        <w:spacing w:after="120" w:line="360" w:lineRule="auto"/>
        <w:jc w:val="both"/>
      </w:pPr>
      <w:r>
        <w:rPr>
          <w:rFonts w:ascii="宋体" w:hAnsi="宋体" w:eastAsia="宋体" w:cs="宋体"/>
          <w:b/>
          <w:bCs/>
          <w:sz w:val="24"/>
          <w:szCs w:val="24"/>
        </w:rPr>
        <w:t>实训条件。</w:t>
      </w:r>
    </w:p>
    <w:p w14:paraId="2228D2E1">
      <w:pPr>
        <w:pStyle w:val="19"/>
        <w:numPr>
          <w:ilvl w:val="0"/>
          <w:numId w:val="1"/>
        </w:numPr>
        <w:spacing w:after="60" w:line="340" w:lineRule="auto"/>
      </w:pPr>
      <w:r>
        <w:rPr>
          <w:rFonts w:ascii="宋体" w:hAnsi="宋体" w:eastAsia="宋体" w:cs="宋体"/>
          <w:sz w:val="24"/>
          <w:szCs w:val="24"/>
        </w:rPr>
        <w:t>设备：数码相机或高像素手机1台、笔记本电脑1台</w:t>
      </w:r>
    </w:p>
    <w:p w14:paraId="2B4DC39A">
      <w:pPr>
        <w:pStyle w:val="19"/>
        <w:numPr>
          <w:ilvl w:val="0"/>
          <w:numId w:val="1"/>
        </w:numPr>
        <w:spacing w:after="60" w:line="340" w:lineRule="auto"/>
      </w:pPr>
      <w:r>
        <w:rPr>
          <w:rFonts w:ascii="宋体" w:hAnsi="宋体" w:eastAsia="宋体" w:cs="宋体"/>
          <w:sz w:val="24"/>
          <w:szCs w:val="24"/>
        </w:rPr>
        <w:t>软件：Agisoft Metashape（教育版）或Meshroom（开源）</w:t>
      </w:r>
    </w:p>
    <w:p w14:paraId="70BE1255">
      <w:pPr>
        <w:pStyle w:val="19"/>
        <w:numPr>
          <w:ilvl w:val="0"/>
          <w:numId w:val="1"/>
        </w:numPr>
        <w:spacing w:after="60" w:line="340" w:lineRule="auto"/>
      </w:pPr>
      <w:r>
        <w:rPr>
          <w:rFonts w:ascii="宋体" w:hAnsi="宋体" w:eastAsia="宋体" w:cs="宋体"/>
          <w:sz w:val="24"/>
          <w:szCs w:val="24"/>
        </w:rPr>
        <w:t>对象：一栋屯堡传统民居（外立面）</w:t>
      </w:r>
    </w:p>
    <w:p w14:paraId="24ACA5D9">
      <w:pPr>
        <w:pStyle w:val="19"/>
        <w:numPr>
          <w:ilvl w:val="0"/>
          <w:numId w:val="1"/>
        </w:numPr>
        <w:spacing w:after="60" w:line="340" w:lineRule="auto"/>
      </w:pPr>
      <w:r>
        <w:rPr>
          <w:rFonts w:ascii="宋体" w:hAnsi="宋体" w:eastAsia="宋体" w:cs="宋体"/>
          <w:sz w:val="24"/>
          <w:szCs w:val="24"/>
        </w:rPr>
        <w:t>学时：4学时</w:t>
      </w:r>
    </w:p>
    <w:p w14:paraId="2E55600B">
      <w:pPr>
        <w:spacing w:after="120" w:line="360" w:lineRule="auto"/>
        <w:jc w:val="both"/>
      </w:pPr>
      <w:r>
        <w:rPr>
          <w:rFonts w:ascii="宋体" w:hAnsi="宋体" w:eastAsia="宋体" w:cs="宋体"/>
          <w:b/>
          <w:bCs/>
          <w:sz w:val="24"/>
          <w:szCs w:val="24"/>
        </w:rPr>
        <w:t>实训步骤。</w:t>
      </w:r>
    </w:p>
    <w:p w14:paraId="731A5B81">
      <w:pPr>
        <w:pStyle w:val="19"/>
        <w:numPr>
          <w:ilvl w:val="0"/>
          <w:numId w:val="2"/>
        </w:numPr>
        <w:spacing w:after="60" w:line="340" w:lineRule="auto"/>
      </w:pPr>
      <w:r>
        <w:rPr>
          <w:rFonts w:ascii="宋体" w:hAnsi="宋体" w:eastAsia="宋体" w:cs="宋体"/>
          <w:sz w:val="24"/>
          <w:szCs w:val="24"/>
        </w:rPr>
        <w:t>拍摄方案设计：围绕建筑规划拍摄路线，确保每面墙有足够重叠度的照片</w:t>
      </w:r>
    </w:p>
    <w:p w14:paraId="326F2134">
      <w:pPr>
        <w:pStyle w:val="19"/>
        <w:numPr>
          <w:ilvl w:val="0"/>
          <w:numId w:val="2"/>
        </w:numPr>
        <w:spacing w:after="60" w:line="340" w:lineRule="auto"/>
      </w:pPr>
      <w:r>
        <w:rPr>
          <w:rFonts w:ascii="宋体" w:hAnsi="宋体" w:eastAsia="宋体" w:cs="宋体"/>
          <w:sz w:val="24"/>
          <w:szCs w:val="24"/>
        </w:rPr>
        <w:t>照片拍摄：按照规划路线拍摄建筑外立面（约100-200张照片）</w:t>
      </w:r>
    </w:p>
    <w:p w14:paraId="58DF7A92">
      <w:pPr>
        <w:pStyle w:val="19"/>
        <w:numPr>
          <w:ilvl w:val="0"/>
          <w:numId w:val="2"/>
        </w:numPr>
        <w:spacing w:after="60" w:line="340" w:lineRule="auto"/>
      </w:pPr>
      <w:r>
        <w:rPr>
          <w:rFonts w:ascii="宋体" w:hAnsi="宋体" w:eastAsia="宋体" w:cs="宋体"/>
          <w:sz w:val="24"/>
          <w:szCs w:val="24"/>
        </w:rPr>
        <w:t>照片筛选：删除模糊、过曝、欠曝的照片</w:t>
      </w:r>
    </w:p>
    <w:p w14:paraId="2ADDD11B">
      <w:pPr>
        <w:pStyle w:val="19"/>
        <w:numPr>
          <w:ilvl w:val="0"/>
          <w:numId w:val="2"/>
        </w:numPr>
        <w:spacing w:after="60" w:line="340" w:lineRule="auto"/>
      </w:pPr>
      <w:r>
        <w:rPr>
          <w:rFonts w:ascii="宋体" w:hAnsi="宋体" w:eastAsia="宋体" w:cs="宋体"/>
          <w:sz w:val="24"/>
          <w:szCs w:val="24"/>
        </w:rPr>
        <w:t>对齐照片：软件自动检测特征点，对齐照片并生成稀疏点云</w:t>
      </w:r>
    </w:p>
    <w:p w14:paraId="01DCAB46">
      <w:pPr>
        <w:pStyle w:val="19"/>
        <w:numPr>
          <w:ilvl w:val="0"/>
          <w:numId w:val="2"/>
        </w:numPr>
        <w:spacing w:after="60" w:line="340" w:lineRule="auto"/>
      </w:pPr>
      <w:r>
        <w:rPr>
          <w:rFonts w:ascii="宋体" w:hAnsi="宋体" w:eastAsia="宋体" w:cs="宋体"/>
          <w:sz w:val="24"/>
          <w:szCs w:val="24"/>
        </w:rPr>
        <w:t>生成密集点云：软件生成密集点云</w:t>
      </w:r>
    </w:p>
    <w:p w14:paraId="2F0F9BE6">
      <w:pPr>
        <w:pStyle w:val="19"/>
        <w:numPr>
          <w:ilvl w:val="0"/>
          <w:numId w:val="2"/>
        </w:numPr>
        <w:spacing w:after="60" w:line="340" w:lineRule="auto"/>
      </w:pPr>
      <w:r>
        <w:rPr>
          <w:rFonts w:ascii="宋体" w:hAnsi="宋体" w:eastAsia="宋体" w:cs="宋体"/>
          <w:sz w:val="24"/>
          <w:szCs w:val="24"/>
        </w:rPr>
        <w:t>生成网格：从点云生成三维网格模型</w:t>
      </w:r>
    </w:p>
    <w:p w14:paraId="6608AB73">
      <w:pPr>
        <w:pStyle w:val="19"/>
        <w:numPr>
          <w:ilvl w:val="0"/>
          <w:numId w:val="2"/>
        </w:numPr>
        <w:spacing w:after="60" w:line="340" w:lineRule="auto"/>
      </w:pPr>
      <w:r>
        <w:rPr>
          <w:rFonts w:ascii="宋体" w:hAnsi="宋体" w:eastAsia="宋体" w:cs="宋体"/>
          <w:sz w:val="24"/>
          <w:szCs w:val="24"/>
        </w:rPr>
        <w:t>纹理贴图：将照片纹理映射到三维模型表面</w:t>
      </w:r>
    </w:p>
    <w:p w14:paraId="004554EE">
      <w:pPr>
        <w:pStyle w:val="19"/>
        <w:numPr>
          <w:ilvl w:val="0"/>
          <w:numId w:val="2"/>
        </w:numPr>
        <w:spacing w:after="60" w:line="340" w:lineRule="auto"/>
      </w:pPr>
      <w:r>
        <w:rPr>
          <w:rFonts w:ascii="宋体" w:hAnsi="宋体" w:eastAsia="宋体" w:cs="宋体"/>
          <w:sz w:val="24"/>
          <w:szCs w:val="24"/>
        </w:rPr>
        <w:t>模型导出：导出为OBJ或FBX格式</w:t>
      </w:r>
    </w:p>
    <w:p w14:paraId="2BB7975B">
      <w:pPr>
        <w:spacing w:after="120" w:line="360" w:lineRule="auto"/>
        <w:jc w:val="both"/>
      </w:pPr>
      <w:r>
        <w:rPr>
          <w:rFonts w:ascii="宋体" w:hAnsi="宋体" w:eastAsia="宋体" w:cs="宋体"/>
          <w:b/>
          <w:bCs/>
          <w:sz w:val="24"/>
          <w:szCs w:val="24"/>
        </w:rPr>
        <w:t>成果要求。</w:t>
      </w:r>
      <w:r>
        <w:rPr>
          <w:rFonts w:ascii="宋体" w:hAnsi="宋体" w:eastAsia="宋体" w:cs="宋体"/>
          <w:sz w:val="24"/>
          <w:szCs w:val="24"/>
        </w:rPr>
        <w:t xml:space="preserve"> 提交三维模型文件、一份操作记录和一份质量自评报告。</w:t>
      </w:r>
    </w:p>
    <w:p w14:paraId="07E33EF8">
      <w:pPr>
        <w:spacing w:after="120" w:line="360" w:lineRule="auto"/>
        <w:jc w:val="both"/>
      </w:pPr>
      <w:r>
        <w:rPr>
          <w:rFonts w:ascii="宋体" w:hAnsi="宋体" w:eastAsia="宋体" w:cs="宋体"/>
          <w:b/>
          <w:bCs/>
          <w:sz w:val="24"/>
          <w:szCs w:val="24"/>
        </w:rPr>
        <w:t>评价标准。</w:t>
      </w:r>
    </w:p>
    <w:p w14:paraId="2065AD6F">
      <w:pPr>
        <w:pStyle w:val="19"/>
        <w:numPr>
          <w:ilvl w:val="0"/>
          <w:numId w:val="1"/>
        </w:numPr>
        <w:spacing w:after="60" w:line="340" w:lineRule="auto"/>
      </w:pPr>
      <w:r>
        <w:rPr>
          <w:rFonts w:ascii="宋体" w:hAnsi="宋体" w:eastAsia="宋体" w:cs="宋体"/>
          <w:sz w:val="24"/>
          <w:szCs w:val="24"/>
        </w:rPr>
        <w:t>模型完整、无明显空洞和变形（40%）</w:t>
      </w:r>
    </w:p>
    <w:p w14:paraId="454DDDD8">
      <w:pPr>
        <w:pStyle w:val="19"/>
        <w:numPr>
          <w:ilvl w:val="0"/>
          <w:numId w:val="1"/>
        </w:numPr>
        <w:spacing w:after="60" w:line="340" w:lineRule="auto"/>
      </w:pPr>
      <w:r>
        <w:rPr>
          <w:rFonts w:ascii="宋体" w:hAnsi="宋体" w:eastAsia="宋体" w:cs="宋体"/>
          <w:sz w:val="24"/>
          <w:szCs w:val="24"/>
        </w:rPr>
        <w:t>纹理清晰、色彩真实（30%）</w:t>
      </w:r>
    </w:p>
    <w:p w14:paraId="1D86FE30">
      <w:pPr>
        <w:pStyle w:val="19"/>
        <w:numPr>
          <w:ilvl w:val="0"/>
          <w:numId w:val="1"/>
        </w:numPr>
        <w:spacing w:after="60" w:line="340" w:lineRule="auto"/>
      </w:pPr>
      <w:r>
        <w:rPr>
          <w:rFonts w:ascii="宋体" w:hAnsi="宋体" w:eastAsia="宋体" w:cs="宋体"/>
          <w:sz w:val="24"/>
          <w:szCs w:val="24"/>
        </w:rPr>
        <w:t>操作记录完整、参数设置合理（30%）</w:t>
      </w:r>
    </w:p>
    <w:p w14:paraId="23F29771">
      <w:pPr>
        <w:pStyle w:val="4"/>
        <w:spacing w:before="300" w:after="200"/>
      </w:pPr>
      <w:bookmarkStart w:id="407" w:name="_Toc8814"/>
      <w:r>
        <w:rPr>
          <w:rFonts w:ascii="黑体" w:hAnsi="黑体" w:eastAsia="黑体" w:cs="黑体"/>
          <w:b/>
          <w:bCs/>
          <w:color w:val="000000"/>
          <w:sz w:val="26"/>
          <w:szCs w:val="26"/>
        </w:rPr>
        <w:t>项目三：屯堡文化知识图谱构建</w:t>
      </w:r>
      <w:bookmarkEnd w:id="407"/>
    </w:p>
    <w:p w14:paraId="028F76A2">
      <w:pPr>
        <w:spacing w:after="120" w:line="360" w:lineRule="auto"/>
        <w:jc w:val="both"/>
      </w:pPr>
      <w:r>
        <w:rPr>
          <w:rFonts w:ascii="宋体" w:hAnsi="宋体" w:eastAsia="宋体" w:cs="宋体"/>
          <w:b/>
          <w:bCs/>
          <w:sz w:val="24"/>
          <w:szCs w:val="24"/>
        </w:rPr>
        <w:t>实训目标。</w:t>
      </w:r>
      <w:r>
        <w:rPr>
          <w:rFonts w:ascii="宋体" w:hAnsi="宋体" w:eastAsia="宋体" w:cs="宋体"/>
          <w:sz w:val="24"/>
          <w:szCs w:val="24"/>
        </w:rPr>
        <w:t xml:space="preserve"> 掌握知识图谱本体设计和数据录入的基本方法。</w:t>
      </w:r>
    </w:p>
    <w:p w14:paraId="43AD0F3C">
      <w:pPr>
        <w:spacing w:after="120" w:line="360" w:lineRule="auto"/>
        <w:jc w:val="both"/>
      </w:pPr>
      <w:r>
        <w:rPr>
          <w:rFonts w:ascii="宋体" w:hAnsi="宋体" w:eastAsia="宋体" w:cs="宋体"/>
          <w:b/>
          <w:bCs/>
          <w:sz w:val="24"/>
          <w:szCs w:val="24"/>
        </w:rPr>
        <w:t>实训条件。</w:t>
      </w:r>
    </w:p>
    <w:p w14:paraId="54E85EE4">
      <w:pPr>
        <w:pStyle w:val="19"/>
        <w:numPr>
          <w:ilvl w:val="0"/>
          <w:numId w:val="1"/>
        </w:numPr>
        <w:spacing w:after="60" w:line="340" w:lineRule="auto"/>
      </w:pPr>
      <w:r>
        <w:rPr>
          <w:rFonts w:ascii="宋体" w:hAnsi="宋体" w:eastAsia="宋体" w:cs="宋体"/>
          <w:sz w:val="24"/>
          <w:szCs w:val="24"/>
        </w:rPr>
        <w:t>软件：Protégé（本体设计）、Neo4j Desktop（图数据库）</w:t>
      </w:r>
    </w:p>
    <w:p w14:paraId="7FD08B02">
      <w:pPr>
        <w:pStyle w:val="19"/>
        <w:numPr>
          <w:ilvl w:val="0"/>
          <w:numId w:val="1"/>
        </w:numPr>
        <w:spacing w:after="60" w:line="340" w:lineRule="auto"/>
      </w:pPr>
      <w:r>
        <w:rPr>
          <w:rFonts w:ascii="宋体" w:hAnsi="宋体" w:eastAsia="宋体" w:cs="宋体"/>
          <w:sz w:val="24"/>
          <w:szCs w:val="24"/>
        </w:rPr>
        <w:t>数据：提供的屯堡文化结构化数据</w:t>
      </w:r>
    </w:p>
    <w:p w14:paraId="66C1A209">
      <w:pPr>
        <w:pStyle w:val="19"/>
        <w:numPr>
          <w:ilvl w:val="0"/>
          <w:numId w:val="1"/>
        </w:numPr>
        <w:spacing w:after="60" w:line="340" w:lineRule="auto"/>
      </w:pPr>
      <w:r>
        <w:rPr>
          <w:rFonts w:ascii="宋体" w:hAnsi="宋体" w:eastAsia="宋体" w:cs="宋体"/>
          <w:sz w:val="24"/>
          <w:szCs w:val="24"/>
        </w:rPr>
        <w:t>学时：4学时（含课外准备1学时）</w:t>
      </w:r>
    </w:p>
    <w:p w14:paraId="20D45204">
      <w:pPr>
        <w:spacing w:after="120" w:line="360" w:lineRule="auto"/>
        <w:jc w:val="both"/>
      </w:pPr>
      <w:r>
        <w:rPr>
          <w:rFonts w:ascii="宋体" w:hAnsi="宋体" w:eastAsia="宋体" w:cs="宋体"/>
          <w:b/>
          <w:bCs/>
          <w:sz w:val="24"/>
          <w:szCs w:val="24"/>
        </w:rPr>
        <w:t>实训步骤。</w:t>
      </w:r>
    </w:p>
    <w:p w14:paraId="7432713C">
      <w:pPr>
        <w:pStyle w:val="19"/>
        <w:numPr>
          <w:ilvl w:val="0"/>
          <w:numId w:val="2"/>
        </w:numPr>
        <w:spacing w:after="60" w:line="340" w:lineRule="auto"/>
      </w:pPr>
      <w:r>
        <w:rPr>
          <w:rFonts w:ascii="宋体" w:hAnsi="宋体" w:eastAsia="宋体" w:cs="宋体"/>
          <w:sz w:val="24"/>
          <w:szCs w:val="24"/>
        </w:rPr>
        <w:t>本体设计：使用Protégé设计屯堡文化知识图谱的实体类型和关系类型（课外）</w:t>
      </w:r>
    </w:p>
    <w:p w14:paraId="4E5F0F7F">
      <w:pPr>
        <w:pStyle w:val="19"/>
        <w:numPr>
          <w:ilvl w:val="0"/>
          <w:numId w:val="2"/>
        </w:numPr>
        <w:spacing w:after="60" w:line="340" w:lineRule="auto"/>
      </w:pPr>
      <w:r>
        <w:rPr>
          <w:rFonts w:ascii="宋体" w:hAnsi="宋体" w:eastAsia="宋体" w:cs="宋体"/>
          <w:sz w:val="24"/>
          <w:szCs w:val="24"/>
        </w:rPr>
        <w:t>实体类型设计：至少包含人物、村寨、建筑、非遗项目、文献5类</w:t>
      </w:r>
    </w:p>
    <w:p w14:paraId="4DD2CDC2">
      <w:pPr>
        <w:pStyle w:val="19"/>
        <w:numPr>
          <w:ilvl w:val="0"/>
          <w:numId w:val="2"/>
        </w:numPr>
        <w:spacing w:after="60" w:line="340" w:lineRule="auto"/>
      </w:pPr>
      <w:r>
        <w:rPr>
          <w:rFonts w:ascii="宋体" w:hAnsi="宋体" w:eastAsia="宋体" w:cs="宋体"/>
          <w:sz w:val="24"/>
          <w:szCs w:val="24"/>
        </w:rPr>
        <w:t>关系类型设计：至少包含传承、位于、属于、表演、记载于5种</w:t>
      </w:r>
    </w:p>
    <w:p w14:paraId="10CD126F">
      <w:pPr>
        <w:pStyle w:val="19"/>
        <w:numPr>
          <w:ilvl w:val="0"/>
          <w:numId w:val="2"/>
        </w:numPr>
        <w:spacing w:after="60" w:line="340" w:lineRule="auto"/>
      </w:pPr>
      <w:r>
        <w:rPr>
          <w:rFonts w:ascii="宋体" w:hAnsi="宋体" w:eastAsia="宋体" w:cs="宋体"/>
          <w:sz w:val="24"/>
          <w:szCs w:val="24"/>
        </w:rPr>
        <w:t>数据整理：将提供的原始数据整理为本体模型规定的格式</w:t>
      </w:r>
    </w:p>
    <w:p w14:paraId="48150660">
      <w:pPr>
        <w:pStyle w:val="19"/>
        <w:numPr>
          <w:ilvl w:val="0"/>
          <w:numId w:val="2"/>
        </w:numPr>
        <w:spacing w:after="60" w:line="340" w:lineRule="auto"/>
      </w:pPr>
      <w:r>
        <w:rPr>
          <w:rFonts w:ascii="宋体" w:hAnsi="宋体" w:eastAsia="宋体" w:cs="宋体"/>
          <w:sz w:val="24"/>
          <w:szCs w:val="24"/>
        </w:rPr>
        <w:t>数据导入：使用Cypher语言将数据导入Neo4j</w:t>
      </w:r>
    </w:p>
    <w:p w14:paraId="0D3243D0">
      <w:pPr>
        <w:pStyle w:val="19"/>
        <w:numPr>
          <w:ilvl w:val="0"/>
          <w:numId w:val="2"/>
        </w:numPr>
        <w:spacing w:after="60" w:line="340" w:lineRule="auto"/>
      </w:pPr>
      <w:r>
        <w:rPr>
          <w:rFonts w:ascii="宋体" w:hAnsi="宋体" w:eastAsia="宋体" w:cs="宋体"/>
          <w:sz w:val="24"/>
          <w:szCs w:val="24"/>
        </w:rPr>
        <w:t>查询测试：编写Cypher查询语句，验证数据完整性和关系正确性</w:t>
      </w:r>
    </w:p>
    <w:p w14:paraId="321D2738">
      <w:pPr>
        <w:pStyle w:val="19"/>
        <w:numPr>
          <w:ilvl w:val="0"/>
          <w:numId w:val="2"/>
        </w:numPr>
        <w:spacing w:after="60" w:line="340" w:lineRule="auto"/>
      </w:pPr>
      <w:r>
        <w:rPr>
          <w:rFonts w:ascii="宋体" w:hAnsi="宋体" w:eastAsia="宋体" w:cs="宋体"/>
          <w:sz w:val="24"/>
          <w:szCs w:val="24"/>
        </w:rPr>
        <w:t>可视化展示：使用Neo4j Browser展示知识图谱</w:t>
      </w:r>
    </w:p>
    <w:p w14:paraId="34B6CCE1">
      <w:pPr>
        <w:spacing w:after="120" w:line="360" w:lineRule="auto"/>
        <w:jc w:val="both"/>
      </w:pPr>
      <w:r>
        <w:rPr>
          <w:rFonts w:ascii="宋体" w:hAnsi="宋体" w:eastAsia="宋体" w:cs="宋体"/>
          <w:b/>
          <w:bCs/>
          <w:sz w:val="24"/>
          <w:szCs w:val="24"/>
        </w:rPr>
        <w:t>成果要求。</w:t>
      </w:r>
      <w:r>
        <w:rPr>
          <w:rFonts w:ascii="宋体" w:hAnsi="宋体" w:eastAsia="宋体" w:cs="宋体"/>
          <w:sz w:val="24"/>
          <w:szCs w:val="24"/>
        </w:rPr>
        <w:t xml:space="preserve"> 提交本体模型文档、Neo4j数据库备份文件和一份查询测试报告。</w:t>
      </w:r>
    </w:p>
    <w:p w14:paraId="1804EC60">
      <w:pPr>
        <w:spacing w:after="120" w:line="360" w:lineRule="auto"/>
        <w:jc w:val="both"/>
      </w:pPr>
      <w:r>
        <w:rPr>
          <w:rFonts w:ascii="宋体" w:hAnsi="宋体" w:eastAsia="宋体" w:cs="宋体"/>
          <w:b/>
          <w:bCs/>
          <w:sz w:val="24"/>
          <w:szCs w:val="24"/>
        </w:rPr>
        <w:t>评价标准。</w:t>
      </w:r>
    </w:p>
    <w:p w14:paraId="544D8FBC">
      <w:pPr>
        <w:pStyle w:val="19"/>
        <w:numPr>
          <w:ilvl w:val="0"/>
          <w:numId w:val="1"/>
        </w:numPr>
        <w:spacing w:after="60" w:line="340" w:lineRule="auto"/>
      </w:pPr>
      <w:r>
        <w:rPr>
          <w:rFonts w:ascii="宋体" w:hAnsi="宋体" w:eastAsia="宋体" w:cs="宋体"/>
          <w:sz w:val="24"/>
          <w:szCs w:val="24"/>
        </w:rPr>
        <w:t>本体设计合理、覆盖主要概念和关系（30%）</w:t>
      </w:r>
    </w:p>
    <w:p w14:paraId="62D5F451">
      <w:pPr>
        <w:pStyle w:val="19"/>
        <w:numPr>
          <w:ilvl w:val="0"/>
          <w:numId w:val="1"/>
        </w:numPr>
        <w:spacing w:after="60" w:line="340" w:lineRule="auto"/>
      </w:pPr>
      <w:r>
        <w:rPr>
          <w:rFonts w:ascii="宋体" w:hAnsi="宋体" w:eastAsia="宋体" w:cs="宋体"/>
          <w:sz w:val="24"/>
          <w:szCs w:val="24"/>
        </w:rPr>
        <w:t>数据完整、关系正确（30%）</w:t>
      </w:r>
    </w:p>
    <w:p w14:paraId="736A2EBF">
      <w:pPr>
        <w:pStyle w:val="19"/>
        <w:numPr>
          <w:ilvl w:val="0"/>
          <w:numId w:val="1"/>
        </w:numPr>
        <w:spacing w:after="60" w:line="340" w:lineRule="auto"/>
      </w:pPr>
      <w:r>
        <w:rPr>
          <w:rFonts w:ascii="宋体" w:hAnsi="宋体" w:eastAsia="宋体" w:cs="宋体"/>
          <w:sz w:val="24"/>
          <w:szCs w:val="24"/>
        </w:rPr>
        <w:t>查询测试覆盖多种关系类型（20%）</w:t>
      </w:r>
    </w:p>
    <w:p w14:paraId="1D1108C8">
      <w:pPr>
        <w:pStyle w:val="19"/>
        <w:numPr>
          <w:ilvl w:val="0"/>
          <w:numId w:val="1"/>
        </w:numPr>
        <w:spacing w:after="60" w:line="340" w:lineRule="auto"/>
      </w:pPr>
      <w:r>
        <w:rPr>
          <w:rFonts w:ascii="宋体" w:hAnsi="宋体" w:eastAsia="宋体" w:cs="宋体"/>
          <w:sz w:val="24"/>
          <w:szCs w:val="24"/>
        </w:rPr>
        <w:t>文档清晰完整（20%）</w:t>
      </w:r>
    </w:p>
    <w:p w14:paraId="344C622F">
      <w:pPr>
        <w:pStyle w:val="4"/>
        <w:spacing w:before="300" w:after="200"/>
      </w:pPr>
      <w:bookmarkStart w:id="408" w:name="_Toc25595"/>
      <w:r>
        <w:rPr>
          <w:rFonts w:ascii="黑体" w:hAnsi="黑体" w:eastAsia="黑体" w:cs="黑体"/>
          <w:b/>
          <w:bCs/>
          <w:color w:val="000000"/>
          <w:sz w:val="26"/>
          <w:szCs w:val="26"/>
        </w:rPr>
        <w:t>项目四：地戏表演数字化记录</w:t>
      </w:r>
      <w:bookmarkEnd w:id="408"/>
    </w:p>
    <w:p w14:paraId="34BC5C83">
      <w:pPr>
        <w:spacing w:after="120" w:line="360" w:lineRule="auto"/>
        <w:jc w:val="both"/>
      </w:pPr>
      <w:r>
        <w:rPr>
          <w:rFonts w:ascii="宋体" w:hAnsi="宋体" w:eastAsia="宋体" w:cs="宋体"/>
          <w:b/>
          <w:bCs/>
          <w:sz w:val="24"/>
          <w:szCs w:val="24"/>
        </w:rPr>
        <w:t>实训目标。</w:t>
      </w:r>
      <w:r>
        <w:rPr>
          <w:rFonts w:ascii="宋体" w:hAnsi="宋体" w:eastAsia="宋体" w:cs="宋体"/>
          <w:sz w:val="24"/>
          <w:szCs w:val="24"/>
        </w:rPr>
        <w:t xml:space="preserve"> 掌握非物质文化遗产多机位记录的基本方法。</w:t>
      </w:r>
    </w:p>
    <w:p w14:paraId="2E873B5B">
      <w:pPr>
        <w:spacing w:after="120" w:line="360" w:lineRule="auto"/>
        <w:jc w:val="both"/>
      </w:pPr>
      <w:r>
        <w:rPr>
          <w:rFonts w:ascii="宋体" w:hAnsi="宋体" w:eastAsia="宋体" w:cs="宋体"/>
          <w:b/>
          <w:bCs/>
          <w:sz w:val="24"/>
          <w:szCs w:val="24"/>
        </w:rPr>
        <w:t>实训条件。</w:t>
      </w:r>
    </w:p>
    <w:p w14:paraId="6C232A90">
      <w:pPr>
        <w:pStyle w:val="19"/>
        <w:numPr>
          <w:ilvl w:val="0"/>
          <w:numId w:val="1"/>
        </w:numPr>
        <w:spacing w:after="60" w:line="340" w:lineRule="auto"/>
      </w:pPr>
      <w:r>
        <w:rPr>
          <w:rFonts w:ascii="宋体" w:hAnsi="宋体" w:eastAsia="宋体" w:cs="宋体"/>
          <w:sz w:val="24"/>
          <w:szCs w:val="24"/>
        </w:rPr>
        <w:t>设备：摄像机或高像素手机3-4台、三脚架3-4个、录音设备1台</w:t>
      </w:r>
    </w:p>
    <w:p w14:paraId="5267E3B7">
      <w:pPr>
        <w:pStyle w:val="19"/>
        <w:numPr>
          <w:ilvl w:val="0"/>
          <w:numId w:val="1"/>
        </w:numPr>
        <w:spacing w:after="60" w:line="340" w:lineRule="auto"/>
      </w:pPr>
      <w:r>
        <w:rPr>
          <w:rFonts w:ascii="宋体" w:hAnsi="宋体" w:eastAsia="宋体" w:cs="宋体"/>
          <w:sz w:val="24"/>
          <w:szCs w:val="24"/>
        </w:rPr>
        <w:t>场地：地戏表演现场或排练场地</w:t>
      </w:r>
    </w:p>
    <w:p w14:paraId="6E0494D1">
      <w:pPr>
        <w:pStyle w:val="19"/>
        <w:numPr>
          <w:ilvl w:val="0"/>
          <w:numId w:val="1"/>
        </w:numPr>
        <w:spacing w:after="60" w:line="340" w:lineRule="auto"/>
      </w:pPr>
      <w:r>
        <w:rPr>
          <w:rFonts w:ascii="宋体" w:hAnsi="宋体" w:eastAsia="宋体" w:cs="宋体"/>
          <w:sz w:val="24"/>
          <w:szCs w:val="24"/>
        </w:rPr>
        <w:t>学时：4学时（含课外准备和素材整理）</w:t>
      </w:r>
    </w:p>
    <w:p w14:paraId="0D3BD052">
      <w:pPr>
        <w:spacing w:after="120" w:line="360" w:lineRule="auto"/>
        <w:jc w:val="both"/>
      </w:pPr>
      <w:r>
        <w:rPr>
          <w:rFonts w:ascii="宋体" w:hAnsi="宋体" w:eastAsia="宋体" w:cs="宋体"/>
          <w:b/>
          <w:bCs/>
          <w:sz w:val="24"/>
          <w:szCs w:val="24"/>
        </w:rPr>
        <w:t>实训步骤。</w:t>
      </w:r>
    </w:p>
    <w:p w14:paraId="7761D52E">
      <w:pPr>
        <w:pStyle w:val="19"/>
        <w:numPr>
          <w:ilvl w:val="0"/>
          <w:numId w:val="2"/>
        </w:numPr>
        <w:spacing w:after="60" w:line="340" w:lineRule="auto"/>
      </w:pPr>
      <w:r>
        <w:rPr>
          <w:rFonts w:ascii="宋体" w:hAnsi="宋体" w:eastAsia="宋体" w:cs="宋体"/>
          <w:sz w:val="24"/>
          <w:szCs w:val="24"/>
        </w:rPr>
        <w:t>拍摄方案设计：确定机位数量、位置、景别和分工（课外）</w:t>
      </w:r>
    </w:p>
    <w:p w14:paraId="111A8296">
      <w:pPr>
        <w:pStyle w:val="19"/>
        <w:numPr>
          <w:ilvl w:val="0"/>
          <w:numId w:val="2"/>
        </w:numPr>
        <w:spacing w:after="60" w:line="340" w:lineRule="auto"/>
      </w:pPr>
      <w:r>
        <w:rPr>
          <w:rFonts w:ascii="宋体" w:hAnsi="宋体" w:eastAsia="宋体" w:cs="宋体"/>
          <w:sz w:val="24"/>
          <w:szCs w:val="24"/>
        </w:rPr>
        <w:t>设备架设：按方案架设各机位，统一时间码（如不具备条件，使用打板同步）</w:t>
      </w:r>
    </w:p>
    <w:p w14:paraId="282F2122">
      <w:pPr>
        <w:pStyle w:val="19"/>
        <w:numPr>
          <w:ilvl w:val="0"/>
          <w:numId w:val="2"/>
        </w:numPr>
        <w:spacing w:after="60" w:line="340" w:lineRule="auto"/>
      </w:pPr>
      <w:r>
        <w:rPr>
          <w:rFonts w:ascii="宋体" w:hAnsi="宋体" w:eastAsia="宋体" w:cs="宋体"/>
          <w:sz w:val="24"/>
          <w:szCs w:val="24"/>
        </w:rPr>
        <w:t>全程拍摄：各机位同时开机，全程录制地戏表演</w:t>
      </w:r>
    </w:p>
    <w:p w14:paraId="5CC69D52">
      <w:pPr>
        <w:pStyle w:val="19"/>
        <w:numPr>
          <w:ilvl w:val="0"/>
          <w:numId w:val="2"/>
        </w:numPr>
        <w:spacing w:after="60" w:line="340" w:lineRule="auto"/>
      </w:pPr>
      <w:r>
        <w:rPr>
          <w:rFonts w:ascii="宋体" w:hAnsi="宋体" w:eastAsia="宋体" w:cs="宋体"/>
          <w:sz w:val="24"/>
          <w:szCs w:val="24"/>
        </w:rPr>
        <w:t>音频录制：单独录制高质量音频（使用外接麦克风）</w:t>
      </w:r>
    </w:p>
    <w:p w14:paraId="2B3D9A99">
      <w:pPr>
        <w:pStyle w:val="19"/>
        <w:numPr>
          <w:ilvl w:val="0"/>
          <w:numId w:val="2"/>
        </w:numPr>
        <w:spacing w:after="60" w:line="340" w:lineRule="auto"/>
      </w:pPr>
      <w:r>
        <w:rPr>
          <w:rFonts w:ascii="宋体" w:hAnsi="宋体" w:eastAsia="宋体" w:cs="宋体"/>
          <w:sz w:val="24"/>
          <w:szCs w:val="24"/>
        </w:rPr>
        <w:t>素材整理：分类整理各机位素材，标注拍摄内容</w:t>
      </w:r>
    </w:p>
    <w:p w14:paraId="1B9C4653">
      <w:pPr>
        <w:pStyle w:val="19"/>
        <w:numPr>
          <w:ilvl w:val="0"/>
          <w:numId w:val="2"/>
        </w:numPr>
        <w:spacing w:after="60" w:line="340" w:lineRule="auto"/>
      </w:pPr>
      <w:r>
        <w:rPr>
          <w:rFonts w:ascii="宋体" w:hAnsi="宋体" w:eastAsia="宋体" w:cs="宋体"/>
          <w:sz w:val="24"/>
          <w:szCs w:val="24"/>
        </w:rPr>
        <w:t>剪辑制作：选择一段表演（3-5分钟），进行多机位剪辑</w:t>
      </w:r>
    </w:p>
    <w:p w14:paraId="0DF7A0FB">
      <w:pPr>
        <w:pStyle w:val="19"/>
        <w:numPr>
          <w:ilvl w:val="0"/>
          <w:numId w:val="2"/>
        </w:numPr>
        <w:spacing w:after="60" w:line="340" w:lineRule="auto"/>
      </w:pPr>
      <w:r>
        <w:rPr>
          <w:rFonts w:ascii="宋体" w:hAnsi="宋体" w:eastAsia="宋体" w:cs="宋体"/>
          <w:sz w:val="24"/>
          <w:szCs w:val="24"/>
        </w:rPr>
        <w:t>添加字幕：为唱词和念白添加字幕</w:t>
      </w:r>
    </w:p>
    <w:p w14:paraId="7DEFAA32">
      <w:pPr>
        <w:spacing w:after="120" w:line="360" w:lineRule="auto"/>
        <w:jc w:val="both"/>
      </w:pPr>
      <w:r>
        <w:rPr>
          <w:rFonts w:ascii="宋体" w:hAnsi="宋体" w:eastAsia="宋体" w:cs="宋体"/>
          <w:b/>
          <w:bCs/>
          <w:sz w:val="24"/>
          <w:szCs w:val="24"/>
        </w:rPr>
        <w:t>成果要求。</w:t>
      </w:r>
      <w:r>
        <w:rPr>
          <w:rFonts w:ascii="宋体" w:hAnsi="宋体" w:eastAsia="宋体" w:cs="宋体"/>
          <w:sz w:val="24"/>
          <w:szCs w:val="24"/>
        </w:rPr>
        <w:t xml:space="preserve"> 提交一段多机位剪辑视频（3-5分钟，1080P以上）、一份拍摄方案文档和一份素材清单。</w:t>
      </w:r>
    </w:p>
    <w:p w14:paraId="5AA7CB10">
      <w:pPr>
        <w:spacing w:after="120" w:line="360" w:lineRule="auto"/>
        <w:jc w:val="both"/>
      </w:pPr>
      <w:r>
        <w:rPr>
          <w:rFonts w:ascii="宋体" w:hAnsi="宋体" w:eastAsia="宋体" w:cs="宋体"/>
          <w:b/>
          <w:bCs/>
          <w:sz w:val="24"/>
          <w:szCs w:val="24"/>
        </w:rPr>
        <w:t>评价标准。</w:t>
      </w:r>
    </w:p>
    <w:p w14:paraId="746E9583">
      <w:pPr>
        <w:pStyle w:val="19"/>
        <w:numPr>
          <w:ilvl w:val="0"/>
          <w:numId w:val="1"/>
        </w:numPr>
        <w:spacing w:after="60" w:line="340" w:lineRule="auto"/>
      </w:pPr>
      <w:r>
        <w:rPr>
          <w:rFonts w:ascii="宋体" w:hAnsi="宋体" w:eastAsia="宋体" w:cs="宋体"/>
          <w:sz w:val="24"/>
          <w:szCs w:val="24"/>
        </w:rPr>
        <w:t>画面清晰、构图合理（30%）</w:t>
      </w:r>
    </w:p>
    <w:p w14:paraId="61AEEAE0">
      <w:pPr>
        <w:pStyle w:val="19"/>
        <w:numPr>
          <w:ilvl w:val="0"/>
          <w:numId w:val="1"/>
        </w:numPr>
        <w:spacing w:after="60" w:line="340" w:lineRule="auto"/>
      </w:pPr>
      <w:r>
        <w:rPr>
          <w:rFonts w:ascii="宋体" w:hAnsi="宋体" w:eastAsia="宋体" w:cs="宋体"/>
          <w:sz w:val="24"/>
          <w:szCs w:val="24"/>
        </w:rPr>
        <w:t>剪辑流畅、节奏恰当（25%）</w:t>
      </w:r>
    </w:p>
    <w:p w14:paraId="1C49A636">
      <w:pPr>
        <w:pStyle w:val="19"/>
        <w:numPr>
          <w:ilvl w:val="0"/>
          <w:numId w:val="1"/>
        </w:numPr>
        <w:spacing w:after="60" w:line="340" w:lineRule="auto"/>
      </w:pPr>
      <w:r>
        <w:rPr>
          <w:rFonts w:ascii="宋体" w:hAnsi="宋体" w:eastAsia="宋体" w:cs="宋体"/>
          <w:sz w:val="24"/>
          <w:szCs w:val="24"/>
        </w:rPr>
        <w:t>音频清晰、字幕准确（25%）</w:t>
      </w:r>
    </w:p>
    <w:p w14:paraId="3E93B523">
      <w:pPr>
        <w:pStyle w:val="19"/>
        <w:numPr>
          <w:ilvl w:val="0"/>
          <w:numId w:val="1"/>
        </w:numPr>
        <w:spacing w:after="60" w:line="340" w:lineRule="auto"/>
      </w:pPr>
      <w:r>
        <w:rPr>
          <w:rFonts w:ascii="宋体" w:hAnsi="宋体" w:eastAsia="宋体" w:cs="宋体"/>
          <w:sz w:val="24"/>
          <w:szCs w:val="24"/>
        </w:rPr>
        <w:t>方案文档完整规范（20%）</w:t>
      </w:r>
    </w:p>
    <w:p w14:paraId="0567629C">
      <w:pPr>
        <w:pStyle w:val="4"/>
        <w:spacing w:before="300" w:after="200"/>
      </w:pPr>
      <w:bookmarkStart w:id="409" w:name="_Toc23802"/>
      <w:r>
        <w:rPr>
          <w:rFonts w:ascii="黑体" w:hAnsi="黑体" w:eastAsia="黑体" w:cs="黑体"/>
          <w:b/>
          <w:bCs/>
          <w:color w:val="000000"/>
          <w:sz w:val="26"/>
          <w:szCs w:val="26"/>
        </w:rPr>
        <w:t>项目五：屯堡文化AR导览原型设计</w:t>
      </w:r>
      <w:bookmarkEnd w:id="409"/>
    </w:p>
    <w:p w14:paraId="68C48152">
      <w:pPr>
        <w:spacing w:after="120" w:line="360" w:lineRule="auto"/>
        <w:jc w:val="both"/>
      </w:pPr>
      <w:r>
        <w:rPr>
          <w:rFonts w:ascii="宋体" w:hAnsi="宋体" w:eastAsia="宋体" w:cs="宋体"/>
          <w:b/>
          <w:bCs/>
          <w:sz w:val="24"/>
          <w:szCs w:val="24"/>
        </w:rPr>
        <w:t>实训目标。</w:t>
      </w:r>
      <w:r>
        <w:rPr>
          <w:rFonts w:ascii="宋体" w:hAnsi="宋体" w:eastAsia="宋体" w:cs="宋体"/>
          <w:sz w:val="24"/>
          <w:szCs w:val="24"/>
        </w:rPr>
        <w:t xml:space="preserve"> 掌握AR导览应用的基本设计方法。</w:t>
      </w:r>
    </w:p>
    <w:p w14:paraId="062A50E0">
      <w:pPr>
        <w:spacing w:after="120" w:line="360" w:lineRule="auto"/>
        <w:jc w:val="both"/>
      </w:pPr>
      <w:r>
        <w:rPr>
          <w:rFonts w:ascii="宋体" w:hAnsi="宋体" w:eastAsia="宋体" w:cs="宋体"/>
          <w:b/>
          <w:bCs/>
          <w:sz w:val="24"/>
          <w:szCs w:val="24"/>
        </w:rPr>
        <w:t>实训条件。</w:t>
      </w:r>
    </w:p>
    <w:p w14:paraId="35DC4CB8">
      <w:pPr>
        <w:pStyle w:val="19"/>
        <w:numPr>
          <w:ilvl w:val="0"/>
          <w:numId w:val="1"/>
        </w:numPr>
        <w:spacing w:after="60" w:line="340" w:lineRule="auto"/>
      </w:pPr>
      <w:r>
        <w:rPr>
          <w:rFonts w:ascii="宋体" w:hAnsi="宋体" w:eastAsia="宋体" w:cs="宋体"/>
          <w:sz w:val="24"/>
          <w:szCs w:val="24"/>
        </w:rPr>
        <w:t>软件：Unity（含AR Foundation）或8th Wall（WebAR）</w:t>
      </w:r>
    </w:p>
    <w:p w14:paraId="2677D890">
      <w:pPr>
        <w:pStyle w:val="19"/>
        <w:numPr>
          <w:ilvl w:val="0"/>
          <w:numId w:val="1"/>
        </w:numPr>
        <w:spacing w:after="60" w:line="340" w:lineRule="auto"/>
      </w:pPr>
      <w:r>
        <w:rPr>
          <w:rFonts w:ascii="宋体" w:hAnsi="宋体" w:eastAsia="宋体" w:cs="宋体"/>
          <w:sz w:val="24"/>
          <w:szCs w:val="24"/>
        </w:rPr>
        <w:t>素材：提供的屯堡建筑三维模型和图片素材</w:t>
      </w:r>
    </w:p>
    <w:p w14:paraId="14C8D24E">
      <w:pPr>
        <w:pStyle w:val="19"/>
        <w:numPr>
          <w:ilvl w:val="0"/>
          <w:numId w:val="1"/>
        </w:numPr>
        <w:spacing w:after="60" w:line="340" w:lineRule="auto"/>
      </w:pPr>
      <w:r>
        <w:rPr>
          <w:rFonts w:ascii="宋体" w:hAnsi="宋体" w:eastAsia="宋体" w:cs="宋体"/>
          <w:sz w:val="24"/>
          <w:szCs w:val="24"/>
        </w:rPr>
        <w:t>设备：支持AR的智能手机</w:t>
      </w:r>
    </w:p>
    <w:p w14:paraId="0A86AE66">
      <w:pPr>
        <w:pStyle w:val="19"/>
        <w:numPr>
          <w:ilvl w:val="0"/>
          <w:numId w:val="1"/>
        </w:numPr>
        <w:spacing w:after="60" w:line="340" w:lineRule="auto"/>
      </w:pPr>
      <w:r>
        <w:rPr>
          <w:rFonts w:ascii="宋体" w:hAnsi="宋体" w:eastAsia="宋体" w:cs="宋体"/>
          <w:sz w:val="24"/>
          <w:szCs w:val="24"/>
        </w:rPr>
        <w:t>学时：4学时</w:t>
      </w:r>
    </w:p>
    <w:p w14:paraId="45DE1749">
      <w:pPr>
        <w:spacing w:after="120" w:line="360" w:lineRule="auto"/>
        <w:jc w:val="both"/>
      </w:pPr>
      <w:r>
        <w:rPr>
          <w:rFonts w:ascii="宋体" w:hAnsi="宋体" w:eastAsia="宋体" w:cs="宋体"/>
          <w:b/>
          <w:bCs/>
          <w:sz w:val="24"/>
          <w:szCs w:val="24"/>
        </w:rPr>
        <w:t>实训步骤。</w:t>
      </w:r>
    </w:p>
    <w:p w14:paraId="5DB79FE6">
      <w:pPr>
        <w:pStyle w:val="19"/>
        <w:numPr>
          <w:ilvl w:val="0"/>
          <w:numId w:val="2"/>
        </w:numPr>
        <w:spacing w:after="60" w:line="340" w:lineRule="auto"/>
      </w:pPr>
      <w:r>
        <w:rPr>
          <w:rFonts w:ascii="宋体" w:hAnsi="宋体" w:eastAsia="宋体" w:cs="宋体"/>
          <w:sz w:val="24"/>
          <w:szCs w:val="24"/>
        </w:rPr>
        <w:t>场景选择：选择一栋屯堡建筑作为AR增强对象</w:t>
      </w:r>
    </w:p>
    <w:p w14:paraId="1207EC30">
      <w:pPr>
        <w:pStyle w:val="19"/>
        <w:numPr>
          <w:ilvl w:val="0"/>
          <w:numId w:val="2"/>
        </w:numPr>
        <w:spacing w:after="60" w:line="340" w:lineRule="auto"/>
      </w:pPr>
      <w:r>
        <w:rPr>
          <w:rFonts w:ascii="宋体" w:hAnsi="宋体" w:eastAsia="宋体" w:cs="宋体"/>
          <w:sz w:val="24"/>
          <w:szCs w:val="24"/>
        </w:rPr>
        <w:t>内容设计：设计AR叠加的信息内容——建筑年代、结构解析、历史照片、语音解说</w:t>
      </w:r>
    </w:p>
    <w:p w14:paraId="0D773040">
      <w:pPr>
        <w:pStyle w:val="19"/>
        <w:numPr>
          <w:ilvl w:val="0"/>
          <w:numId w:val="2"/>
        </w:numPr>
        <w:spacing w:after="60" w:line="340" w:lineRule="auto"/>
      </w:pPr>
      <w:r>
        <w:rPr>
          <w:rFonts w:ascii="宋体" w:hAnsi="宋体" w:eastAsia="宋体" w:cs="宋体"/>
          <w:sz w:val="24"/>
          <w:szCs w:val="24"/>
        </w:rPr>
        <w:t>AR开发：使用Unity或8th Wall开发AR原型</w:t>
      </w:r>
    </w:p>
    <w:p w14:paraId="30E7217C">
      <w:pPr>
        <w:pStyle w:val="19"/>
        <w:numPr>
          <w:ilvl w:val="0"/>
          <w:numId w:val="2"/>
        </w:numPr>
        <w:spacing w:after="60" w:line="340" w:lineRule="auto"/>
      </w:pPr>
      <w:r>
        <w:rPr>
          <w:rFonts w:ascii="宋体" w:hAnsi="宋体" w:eastAsia="宋体" w:cs="宋体"/>
          <w:sz w:val="24"/>
          <w:szCs w:val="24"/>
        </w:rPr>
        <w:t>识别图设置：使用建筑照片或特征点作为AR识别目标</w:t>
      </w:r>
    </w:p>
    <w:p w14:paraId="29489C87">
      <w:pPr>
        <w:pStyle w:val="19"/>
        <w:numPr>
          <w:ilvl w:val="0"/>
          <w:numId w:val="2"/>
        </w:numPr>
        <w:spacing w:after="60" w:line="340" w:lineRule="auto"/>
      </w:pPr>
      <w:r>
        <w:rPr>
          <w:rFonts w:ascii="宋体" w:hAnsi="宋体" w:eastAsia="宋体" w:cs="宋体"/>
          <w:sz w:val="24"/>
          <w:szCs w:val="24"/>
        </w:rPr>
        <w:t>交互设计：实现基本的交互功能——点击查看详情、滑动切换信息</w:t>
      </w:r>
    </w:p>
    <w:p w14:paraId="36826050">
      <w:pPr>
        <w:pStyle w:val="19"/>
        <w:numPr>
          <w:ilvl w:val="0"/>
          <w:numId w:val="2"/>
        </w:numPr>
        <w:spacing w:after="60" w:line="340" w:lineRule="auto"/>
      </w:pPr>
      <w:r>
        <w:rPr>
          <w:rFonts w:ascii="宋体" w:hAnsi="宋体" w:eastAsia="宋体" w:cs="宋体"/>
          <w:sz w:val="24"/>
          <w:szCs w:val="24"/>
        </w:rPr>
        <w:t>测试优化：在实际建筑前测试AR效果，调整识别灵敏度和显示位置</w:t>
      </w:r>
    </w:p>
    <w:p w14:paraId="2D5ABDD3">
      <w:pPr>
        <w:pStyle w:val="19"/>
        <w:numPr>
          <w:ilvl w:val="0"/>
          <w:numId w:val="2"/>
        </w:numPr>
        <w:spacing w:after="60" w:line="340" w:lineRule="auto"/>
      </w:pPr>
      <w:r>
        <w:rPr>
          <w:rFonts w:ascii="宋体" w:hAnsi="宋体" w:eastAsia="宋体" w:cs="宋体"/>
          <w:sz w:val="24"/>
          <w:szCs w:val="24"/>
        </w:rPr>
        <w:t>打包发布：生成可在手机上运行的APK或Web链接</w:t>
      </w:r>
    </w:p>
    <w:p w14:paraId="049BDA49">
      <w:pPr>
        <w:spacing w:after="120" w:line="360" w:lineRule="auto"/>
        <w:jc w:val="both"/>
      </w:pPr>
      <w:r>
        <w:rPr>
          <w:rFonts w:ascii="宋体" w:hAnsi="宋体" w:eastAsia="宋体" w:cs="宋体"/>
          <w:b/>
          <w:bCs/>
          <w:sz w:val="24"/>
          <w:szCs w:val="24"/>
        </w:rPr>
        <w:t>成果要求。</w:t>
      </w:r>
      <w:r>
        <w:rPr>
          <w:rFonts w:ascii="宋体" w:hAnsi="宋体" w:eastAsia="宋体" w:cs="宋体"/>
          <w:sz w:val="24"/>
          <w:szCs w:val="24"/>
        </w:rPr>
        <w:t xml:space="preserve"> 提交可运行的AR原型（APK或URL）、一份设计文档和一份测试报告。</w:t>
      </w:r>
    </w:p>
    <w:p w14:paraId="4217F942">
      <w:pPr>
        <w:spacing w:after="120" w:line="360" w:lineRule="auto"/>
        <w:jc w:val="both"/>
      </w:pPr>
      <w:r>
        <w:rPr>
          <w:rFonts w:ascii="宋体" w:hAnsi="宋体" w:eastAsia="宋体" w:cs="宋体"/>
          <w:b/>
          <w:bCs/>
          <w:sz w:val="24"/>
          <w:szCs w:val="24"/>
        </w:rPr>
        <w:t>评价标准。</w:t>
      </w:r>
    </w:p>
    <w:p w14:paraId="559DC014">
      <w:pPr>
        <w:pStyle w:val="19"/>
        <w:numPr>
          <w:ilvl w:val="0"/>
          <w:numId w:val="1"/>
        </w:numPr>
        <w:spacing w:after="60" w:line="340" w:lineRule="auto"/>
      </w:pPr>
      <w:r>
        <w:rPr>
          <w:rFonts w:ascii="宋体" w:hAnsi="宋体" w:eastAsia="宋体" w:cs="宋体"/>
          <w:sz w:val="24"/>
          <w:szCs w:val="24"/>
        </w:rPr>
        <w:t>AR识别稳定、显示位置准确（35%）</w:t>
      </w:r>
    </w:p>
    <w:p w14:paraId="65E20DB8">
      <w:pPr>
        <w:pStyle w:val="19"/>
        <w:numPr>
          <w:ilvl w:val="0"/>
          <w:numId w:val="1"/>
        </w:numPr>
        <w:spacing w:after="60" w:line="340" w:lineRule="auto"/>
      </w:pPr>
      <w:r>
        <w:rPr>
          <w:rFonts w:ascii="宋体" w:hAnsi="宋体" w:eastAsia="宋体" w:cs="宋体"/>
          <w:sz w:val="24"/>
          <w:szCs w:val="24"/>
        </w:rPr>
        <w:t>信息内容准确丰富（30%）</w:t>
      </w:r>
    </w:p>
    <w:p w14:paraId="10304A96">
      <w:pPr>
        <w:pStyle w:val="19"/>
        <w:numPr>
          <w:ilvl w:val="0"/>
          <w:numId w:val="1"/>
        </w:numPr>
        <w:spacing w:after="60" w:line="340" w:lineRule="auto"/>
      </w:pPr>
      <w:r>
        <w:rPr>
          <w:rFonts w:ascii="宋体" w:hAnsi="宋体" w:eastAsia="宋体" w:cs="宋体"/>
          <w:sz w:val="24"/>
          <w:szCs w:val="24"/>
        </w:rPr>
        <w:t>交互流畅自然（20%）</w:t>
      </w:r>
    </w:p>
    <w:p w14:paraId="3D6C1441">
      <w:pPr>
        <w:pStyle w:val="19"/>
        <w:numPr>
          <w:ilvl w:val="0"/>
          <w:numId w:val="1"/>
        </w:numPr>
        <w:spacing w:after="60" w:line="340" w:lineRule="auto"/>
      </w:pPr>
      <w:r>
        <w:rPr>
          <w:rFonts w:ascii="宋体" w:hAnsi="宋体" w:eastAsia="宋体" w:cs="宋体"/>
          <w:sz w:val="24"/>
          <w:szCs w:val="24"/>
        </w:rPr>
        <w:t>设计文档完整（15%）</w:t>
      </w:r>
    </w:p>
    <w:p w14:paraId="22B97850">
      <w:pPr>
        <w:pStyle w:val="4"/>
        <w:spacing w:before="300" w:after="200"/>
      </w:pPr>
      <w:bookmarkStart w:id="410" w:name="_Toc13429"/>
      <w:r>
        <w:rPr>
          <w:rFonts w:ascii="黑体" w:hAnsi="黑体" w:eastAsia="黑体" w:cs="黑体"/>
          <w:b/>
          <w:bCs/>
          <w:color w:val="000000"/>
          <w:sz w:val="26"/>
          <w:szCs w:val="26"/>
        </w:rPr>
        <w:t>项目六：屯堡文创产品设计与制作</w:t>
      </w:r>
      <w:bookmarkEnd w:id="410"/>
    </w:p>
    <w:p w14:paraId="191B0E05">
      <w:pPr>
        <w:spacing w:after="120" w:line="360" w:lineRule="auto"/>
        <w:jc w:val="both"/>
      </w:pPr>
      <w:r>
        <w:rPr>
          <w:rFonts w:ascii="宋体" w:hAnsi="宋体" w:eastAsia="宋体" w:cs="宋体"/>
          <w:b/>
          <w:bCs/>
          <w:sz w:val="24"/>
          <w:szCs w:val="24"/>
        </w:rPr>
        <w:t>实训目标。</w:t>
      </w:r>
      <w:r>
        <w:rPr>
          <w:rFonts w:ascii="宋体" w:hAnsi="宋体" w:eastAsia="宋体" w:cs="宋体"/>
          <w:sz w:val="24"/>
          <w:szCs w:val="24"/>
        </w:rPr>
        <w:t xml:space="preserve"> 掌握文创产品从文化符号提取到样品制作的全流程。</w:t>
      </w:r>
    </w:p>
    <w:p w14:paraId="5190345D">
      <w:pPr>
        <w:spacing w:after="120" w:line="360" w:lineRule="auto"/>
        <w:jc w:val="both"/>
      </w:pPr>
      <w:r>
        <w:rPr>
          <w:rFonts w:ascii="宋体" w:hAnsi="宋体" w:eastAsia="宋体" w:cs="宋体"/>
          <w:b/>
          <w:bCs/>
          <w:sz w:val="24"/>
          <w:szCs w:val="24"/>
        </w:rPr>
        <w:t>实训条件。</w:t>
      </w:r>
    </w:p>
    <w:p w14:paraId="2A694D04">
      <w:pPr>
        <w:pStyle w:val="19"/>
        <w:numPr>
          <w:ilvl w:val="0"/>
          <w:numId w:val="1"/>
        </w:numPr>
        <w:spacing w:after="60" w:line="340" w:lineRule="auto"/>
      </w:pPr>
      <w:r>
        <w:rPr>
          <w:rFonts w:ascii="宋体" w:hAnsi="宋体" w:eastAsia="宋体" w:cs="宋体"/>
          <w:sz w:val="24"/>
          <w:szCs w:val="24"/>
        </w:rPr>
        <w:t>工具：设计软件（Photoshop/Illustrator/Canva）、手工制作材料</w:t>
      </w:r>
    </w:p>
    <w:p w14:paraId="2ADACB4B">
      <w:pPr>
        <w:pStyle w:val="19"/>
        <w:numPr>
          <w:ilvl w:val="0"/>
          <w:numId w:val="1"/>
        </w:numPr>
        <w:spacing w:after="60" w:line="340" w:lineRule="auto"/>
      </w:pPr>
      <w:r>
        <w:rPr>
          <w:rFonts w:ascii="宋体" w:hAnsi="宋体" w:eastAsia="宋体" w:cs="宋体"/>
          <w:sz w:val="24"/>
          <w:szCs w:val="24"/>
        </w:rPr>
        <w:t>学时：4学时（含课外设计2学时）</w:t>
      </w:r>
    </w:p>
    <w:p w14:paraId="1D5074E7">
      <w:pPr>
        <w:spacing w:after="120" w:line="360" w:lineRule="auto"/>
        <w:jc w:val="both"/>
      </w:pPr>
      <w:r>
        <w:rPr>
          <w:rFonts w:ascii="宋体" w:hAnsi="宋体" w:eastAsia="宋体" w:cs="宋体"/>
          <w:b/>
          <w:bCs/>
          <w:sz w:val="24"/>
          <w:szCs w:val="24"/>
        </w:rPr>
        <w:t>实训步骤。</w:t>
      </w:r>
    </w:p>
    <w:p w14:paraId="1B27B92D">
      <w:pPr>
        <w:pStyle w:val="19"/>
        <w:numPr>
          <w:ilvl w:val="0"/>
          <w:numId w:val="2"/>
        </w:numPr>
        <w:spacing w:after="60" w:line="340" w:lineRule="auto"/>
      </w:pPr>
      <w:r>
        <w:rPr>
          <w:rFonts w:ascii="宋体" w:hAnsi="宋体" w:eastAsia="宋体" w:cs="宋体"/>
          <w:sz w:val="24"/>
          <w:szCs w:val="24"/>
        </w:rPr>
        <w:t>文化符号选择：从屯堡文化中选择1-2个视觉符号（课外）</w:t>
      </w:r>
    </w:p>
    <w:p w14:paraId="63A37869">
      <w:pPr>
        <w:pStyle w:val="19"/>
        <w:numPr>
          <w:ilvl w:val="0"/>
          <w:numId w:val="2"/>
        </w:numPr>
        <w:spacing w:after="60" w:line="340" w:lineRule="auto"/>
      </w:pPr>
      <w:r>
        <w:rPr>
          <w:rFonts w:ascii="宋体" w:hAnsi="宋体" w:eastAsia="宋体" w:cs="宋体"/>
          <w:sz w:val="24"/>
          <w:szCs w:val="24"/>
        </w:rPr>
        <w:t>符号分析与转化：分析符号特征，运用简化/抽象化/重构等策略进行现代转化（课外）</w:t>
      </w:r>
    </w:p>
    <w:p w14:paraId="6916A006">
      <w:pPr>
        <w:pStyle w:val="19"/>
        <w:numPr>
          <w:ilvl w:val="0"/>
          <w:numId w:val="2"/>
        </w:numPr>
        <w:spacing w:after="60" w:line="340" w:lineRule="auto"/>
      </w:pPr>
      <w:r>
        <w:rPr>
          <w:rFonts w:ascii="宋体" w:hAnsi="宋体" w:eastAsia="宋体" w:cs="宋体"/>
          <w:sz w:val="24"/>
          <w:szCs w:val="24"/>
        </w:rPr>
        <w:t>产品概念设计：确定产品类型（文具/服饰/家居/数字产品）和设计概念</w:t>
      </w:r>
    </w:p>
    <w:p w14:paraId="6631AD60">
      <w:pPr>
        <w:pStyle w:val="19"/>
        <w:numPr>
          <w:ilvl w:val="0"/>
          <w:numId w:val="2"/>
        </w:numPr>
        <w:spacing w:after="60" w:line="340" w:lineRule="auto"/>
      </w:pPr>
      <w:r>
        <w:rPr>
          <w:rFonts w:ascii="宋体" w:hAnsi="宋体" w:eastAsia="宋体" w:cs="宋体"/>
          <w:sz w:val="24"/>
          <w:szCs w:val="24"/>
        </w:rPr>
        <w:t>设计方案深化：完成产品效果图、三视图和材质说明</w:t>
      </w:r>
    </w:p>
    <w:p w14:paraId="2C25D8B3">
      <w:pPr>
        <w:pStyle w:val="19"/>
        <w:numPr>
          <w:ilvl w:val="0"/>
          <w:numId w:val="2"/>
        </w:numPr>
        <w:spacing w:after="60" w:line="340" w:lineRule="auto"/>
      </w:pPr>
      <w:r>
        <w:rPr>
          <w:rFonts w:ascii="宋体" w:hAnsi="宋体" w:eastAsia="宋体" w:cs="宋体"/>
          <w:sz w:val="24"/>
          <w:szCs w:val="24"/>
        </w:rPr>
        <w:t>手工样品制作：使用纸板、布料、黏土等材料制作手工样品</w:t>
      </w:r>
    </w:p>
    <w:p w14:paraId="14C5CC21">
      <w:pPr>
        <w:pStyle w:val="19"/>
        <w:numPr>
          <w:ilvl w:val="0"/>
          <w:numId w:val="2"/>
        </w:numPr>
        <w:spacing w:after="60" w:line="340" w:lineRule="auto"/>
      </w:pPr>
      <w:r>
        <w:rPr>
          <w:rFonts w:ascii="宋体" w:hAnsi="宋体" w:eastAsia="宋体" w:cs="宋体"/>
          <w:sz w:val="24"/>
          <w:szCs w:val="24"/>
        </w:rPr>
        <w:t>展示与互评：分组展示设计成果，进行互评打分</w:t>
      </w:r>
    </w:p>
    <w:p w14:paraId="3495877F">
      <w:pPr>
        <w:pStyle w:val="19"/>
        <w:numPr>
          <w:ilvl w:val="0"/>
          <w:numId w:val="2"/>
        </w:numPr>
        <w:spacing w:after="60" w:line="340" w:lineRule="auto"/>
      </w:pPr>
      <w:r>
        <w:rPr>
          <w:rFonts w:ascii="宋体" w:hAnsi="宋体" w:eastAsia="宋体" w:cs="宋体"/>
          <w:sz w:val="24"/>
          <w:szCs w:val="24"/>
        </w:rPr>
        <w:t>优化修改：根据互评反馈优化设计方案</w:t>
      </w:r>
    </w:p>
    <w:p w14:paraId="758E0801">
      <w:pPr>
        <w:spacing w:after="120" w:line="360" w:lineRule="auto"/>
        <w:jc w:val="both"/>
      </w:pPr>
      <w:r>
        <w:rPr>
          <w:rFonts w:ascii="宋体" w:hAnsi="宋体" w:eastAsia="宋体" w:cs="宋体"/>
          <w:b/>
          <w:bCs/>
          <w:sz w:val="24"/>
          <w:szCs w:val="24"/>
        </w:rPr>
        <w:t>成果要求。</w:t>
      </w:r>
      <w:r>
        <w:rPr>
          <w:rFonts w:ascii="宋体" w:hAnsi="宋体" w:eastAsia="宋体" w:cs="宋体"/>
          <w:sz w:val="24"/>
          <w:szCs w:val="24"/>
        </w:rPr>
        <w:t xml:space="preserve"> 提交设计效果图、手工样品和一份设计说明文档。</w:t>
      </w:r>
    </w:p>
    <w:p w14:paraId="78C23E39">
      <w:pPr>
        <w:spacing w:after="120" w:line="360" w:lineRule="auto"/>
        <w:jc w:val="both"/>
      </w:pPr>
      <w:r>
        <w:rPr>
          <w:rFonts w:ascii="宋体" w:hAnsi="宋体" w:eastAsia="宋体" w:cs="宋体"/>
          <w:b/>
          <w:bCs/>
          <w:sz w:val="24"/>
          <w:szCs w:val="24"/>
        </w:rPr>
        <w:t>评价标准。</w:t>
      </w:r>
    </w:p>
    <w:p w14:paraId="25D7221B">
      <w:pPr>
        <w:pStyle w:val="19"/>
        <w:numPr>
          <w:ilvl w:val="0"/>
          <w:numId w:val="1"/>
        </w:numPr>
        <w:spacing w:after="60" w:line="340" w:lineRule="auto"/>
      </w:pPr>
      <w:r>
        <w:rPr>
          <w:rFonts w:ascii="宋体" w:hAnsi="宋体" w:eastAsia="宋体" w:cs="宋体"/>
          <w:sz w:val="24"/>
          <w:szCs w:val="24"/>
        </w:rPr>
        <w:t>文化符号运用恰当、有创意（35%）</w:t>
      </w:r>
    </w:p>
    <w:p w14:paraId="2C7301BA">
      <w:pPr>
        <w:pStyle w:val="19"/>
        <w:numPr>
          <w:ilvl w:val="0"/>
          <w:numId w:val="1"/>
        </w:numPr>
        <w:spacing w:after="60" w:line="340" w:lineRule="auto"/>
      </w:pPr>
      <w:r>
        <w:rPr>
          <w:rFonts w:ascii="宋体" w:hAnsi="宋体" w:eastAsia="宋体" w:cs="宋体"/>
          <w:sz w:val="24"/>
          <w:szCs w:val="24"/>
        </w:rPr>
        <w:t>产品设计美观实用（30%）</w:t>
      </w:r>
    </w:p>
    <w:p w14:paraId="048C99AD">
      <w:pPr>
        <w:pStyle w:val="19"/>
        <w:numPr>
          <w:ilvl w:val="0"/>
          <w:numId w:val="1"/>
        </w:numPr>
        <w:spacing w:after="60" w:line="340" w:lineRule="auto"/>
      </w:pPr>
      <w:r>
        <w:rPr>
          <w:rFonts w:ascii="宋体" w:hAnsi="宋体" w:eastAsia="宋体" w:cs="宋体"/>
          <w:sz w:val="24"/>
          <w:szCs w:val="24"/>
        </w:rPr>
        <w:t>样品制作精良（20%）</w:t>
      </w:r>
    </w:p>
    <w:p w14:paraId="2E985537">
      <w:pPr>
        <w:pStyle w:val="19"/>
        <w:numPr>
          <w:ilvl w:val="0"/>
          <w:numId w:val="1"/>
        </w:numPr>
        <w:spacing w:after="60" w:line="340" w:lineRule="auto"/>
      </w:pPr>
      <w:r>
        <w:rPr>
          <w:rFonts w:ascii="宋体" w:hAnsi="宋体" w:eastAsia="宋体" w:cs="宋体"/>
          <w:sz w:val="24"/>
          <w:szCs w:val="24"/>
        </w:rPr>
        <w:t>设计说明清晰（15%）</w:t>
      </w:r>
    </w:p>
    <w:p w14:paraId="0CBCE97A">
      <w:pPr>
        <w:pStyle w:val="4"/>
        <w:spacing w:before="300" w:after="200"/>
      </w:pPr>
      <w:bookmarkStart w:id="411" w:name="_Toc13390"/>
      <w:r>
        <w:rPr>
          <w:rFonts w:ascii="黑体" w:hAnsi="黑体" w:eastAsia="黑体" w:cs="黑体"/>
          <w:b/>
          <w:bCs/>
          <w:color w:val="000000"/>
          <w:sz w:val="26"/>
          <w:szCs w:val="26"/>
        </w:rPr>
        <w:t>项目七：屯堡文化旅游活化方案策划</w:t>
      </w:r>
      <w:bookmarkEnd w:id="411"/>
    </w:p>
    <w:p w14:paraId="6DAD0D5F">
      <w:pPr>
        <w:spacing w:after="120" w:line="360" w:lineRule="auto"/>
        <w:jc w:val="both"/>
      </w:pPr>
      <w:r>
        <w:rPr>
          <w:rFonts w:ascii="宋体" w:hAnsi="宋体" w:eastAsia="宋体" w:cs="宋体"/>
          <w:b/>
          <w:bCs/>
          <w:sz w:val="24"/>
          <w:szCs w:val="24"/>
        </w:rPr>
        <w:t>实训目标。</w:t>
      </w:r>
      <w:r>
        <w:rPr>
          <w:rFonts w:ascii="宋体" w:hAnsi="宋体" w:eastAsia="宋体" w:cs="宋体"/>
          <w:sz w:val="24"/>
          <w:szCs w:val="24"/>
        </w:rPr>
        <w:t xml:space="preserve"> 培养文化旅游项目策划的综合能力。</w:t>
      </w:r>
    </w:p>
    <w:p w14:paraId="1ED3E4B3">
      <w:pPr>
        <w:spacing w:after="120" w:line="360" w:lineRule="auto"/>
        <w:jc w:val="both"/>
      </w:pPr>
      <w:r>
        <w:rPr>
          <w:rFonts w:ascii="宋体" w:hAnsi="宋体" w:eastAsia="宋体" w:cs="宋体"/>
          <w:b/>
          <w:bCs/>
          <w:sz w:val="24"/>
          <w:szCs w:val="24"/>
        </w:rPr>
        <w:t>实训条件。</w:t>
      </w:r>
    </w:p>
    <w:p w14:paraId="19997944">
      <w:pPr>
        <w:pStyle w:val="19"/>
        <w:numPr>
          <w:ilvl w:val="0"/>
          <w:numId w:val="1"/>
        </w:numPr>
        <w:spacing w:after="60" w:line="340" w:lineRule="auto"/>
      </w:pPr>
      <w:r>
        <w:rPr>
          <w:rFonts w:ascii="宋体" w:hAnsi="宋体" w:eastAsia="宋体" w:cs="宋体"/>
          <w:sz w:val="24"/>
          <w:szCs w:val="24"/>
        </w:rPr>
        <w:t>资料：提供的屯堡各村寨基础资料</w:t>
      </w:r>
    </w:p>
    <w:p w14:paraId="7B1EF8CB">
      <w:pPr>
        <w:pStyle w:val="19"/>
        <w:numPr>
          <w:ilvl w:val="0"/>
          <w:numId w:val="1"/>
        </w:numPr>
        <w:spacing w:after="60" w:line="340" w:lineRule="auto"/>
      </w:pPr>
      <w:r>
        <w:rPr>
          <w:rFonts w:ascii="宋体" w:hAnsi="宋体" w:eastAsia="宋体" w:cs="宋体"/>
          <w:sz w:val="24"/>
          <w:szCs w:val="24"/>
        </w:rPr>
        <w:t>学时：4学时（含课外调研2学时）</w:t>
      </w:r>
    </w:p>
    <w:p w14:paraId="13441A75">
      <w:pPr>
        <w:spacing w:after="120" w:line="360" w:lineRule="auto"/>
        <w:jc w:val="both"/>
      </w:pPr>
      <w:r>
        <w:rPr>
          <w:rFonts w:ascii="宋体" w:hAnsi="宋体" w:eastAsia="宋体" w:cs="宋体"/>
          <w:b/>
          <w:bCs/>
          <w:sz w:val="24"/>
          <w:szCs w:val="24"/>
        </w:rPr>
        <w:t>实训步骤。</w:t>
      </w:r>
    </w:p>
    <w:p w14:paraId="3414A3AB">
      <w:pPr>
        <w:pStyle w:val="19"/>
        <w:numPr>
          <w:ilvl w:val="0"/>
          <w:numId w:val="2"/>
        </w:numPr>
        <w:spacing w:after="60" w:line="340" w:lineRule="auto"/>
      </w:pPr>
      <w:r>
        <w:rPr>
          <w:rFonts w:ascii="宋体" w:hAnsi="宋体" w:eastAsia="宋体" w:cs="宋体"/>
          <w:sz w:val="24"/>
          <w:szCs w:val="24"/>
        </w:rPr>
        <w:t>选题：选择一个屯堡村寨作为策划对象（课外）</w:t>
      </w:r>
    </w:p>
    <w:p w14:paraId="0C3C9AF6">
      <w:pPr>
        <w:pStyle w:val="19"/>
        <w:numPr>
          <w:ilvl w:val="0"/>
          <w:numId w:val="2"/>
        </w:numPr>
        <w:spacing w:after="60" w:line="340" w:lineRule="auto"/>
      </w:pPr>
      <w:r>
        <w:rPr>
          <w:rFonts w:ascii="宋体" w:hAnsi="宋体" w:eastAsia="宋体" w:cs="宋体"/>
          <w:sz w:val="24"/>
          <w:szCs w:val="24"/>
        </w:rPr>
        <w:t>现状分析：分析该村寨的资源禀赋、市场环境和存在问题（课外）</w:t>
      </w:r>
    </w:p>
    <w:p w14:paraId="44CD4D24">
      <w:pPr>
        <w:pStyle w:val="19"/>
        <w:numPr>
          <w:ilvl w:val="0"/>
          <w:numId w:val="2"/>
        </w:numPr>
        <w:spacing w:after="60" w:line="340" w:lineRule="auto"/>
      </w:pPr>
      <w:r>
        <w:rPr>
          <w:rFonts w:ascii="宋体" w:hAnsi="宋体" w:eastAsia="宋体" w:cs="宋体"/>
          <w:sz w:val="24"/>
          <w:szCs w:val="24"/>
        </w:rPr>
        <w:t>定位设计：确定旅游活化的目标定位和差异化策略</w:t>
      </w:r>
    </w:p>
    <w:p w14:paraId="78682D13">
      <w:pPr>
        <w:pStyle w:val="19"/>
        <w:numPr>
          <w:ilvl w:val="0"/>
          <w:numId w:val="2"/>
        </w:numPr>
        <w:spacing w:after="60" w:line="340" w:lineRule="auto"/>
      </w:pPr>
      <w:r>
        <w:rPr>
          <w:rFonts w:ascii="宋体" w:hAnsi="宋体" w:eastAsia="宋体" w:cs="宋体"/>
          <w:sz w:val="24"/>
          <w:szCs w:val="24"/>
        </w:rPr>
        <w:t>产品设计：设计核心产品、辅助产品和延伸产品体系</w:t>
      </w:r>
    </w:p>
    <w:p w14:paraId="5331A3F3">
      <w:pPr>
        <w:pStyle w:val="19"/>
        <w:numPr>
          <w:ilvl w:val="0"/>
          <w:numId w:val="2"/>
        </w:numPr>
        <w:spacing w:after="60" w:line="340" w:lineRule="auto"/>
      </w:pPr>
      <w:r>
        <w:rPr>
          <w:rFonts w:ascii="宋体" w:hAnsi="宋体" w:eastAsia="宋体" w:cs="宋体"/>
          <w:sz w:val="24"/>
          <w:szCs w:val="24"/>
        </w:rPr>
        <w:t>体验设计：设计游客体验流程和关键体验点</w:t>
      </w:r>
    </w:p>
    <w:p w14:paraId="289BF680">
      <w:pPr>
        <w:pStyle w:val="19"/>
        <w:numPr>
          <w:ilvl w:val="0"/>
          <w:numId w:val="2"/>
        </w:numPr>
        <w:spacing w:after="60" w:line="340" w:lineRule="auto"/>
      </w:pPr>
      <w:r>
        <w:rPr>
          <w:rFonts w:ascii="宋体" w:hAnsi="宋体" w:eastAsia="宋体" w:cs="宋体"/>
          <w:sz w:val="24"/>
          <w:szCs w:val="24"/>
        </w:rPr>
        <w:t>运营设计：估算投资规模、预期收益和社区利益分配方案</w:t>
      </w:r>
    </w:p>
    <w:p w14:paraId="105BA9E8">
      <w:pPr>
        <w:pStyle w:val="19"/>
        <w:numPr>
          <w:ilvl w:val="0"/>
          <w:numId w:val="2"/>
        </w:numPr>
        <w:spacing w:after="60" w:line="340" w:lineRule="auto"/>
      </w:pPr>
      <w:r>
        <w:rPr>
          <w:rFonts w:ascii="宋体" w:hAnsi="宋体" w:eastAsia="宋体" w:cs="宋体"/>
          <w:sz w:val="24"/>
          <w:szCs w:val="24"/>
        </w:rPr>
        <w:t>方案汇报：制作PPT并进行10分钟方案汇报</w:t>
      </w:r>
    </w:p>
    <w:p w14:paraId="37412C7C">
      <w:pPr>
        <w:spacing w:after="120" w:line="360" w:lineRule="auto"/>
        <w:jc w:val="both"/>
      </w:pPr>
      <w:r>
        <w:rPr>
          <w:rFonts w:ascii="宋体" w:hAnsi="宋体" w:eastAsia="宋体" w:cs="宋体"/>
          <w:b/>
          <w:bCs/>
          <w:sz w:val="24"/>
          <w:szCs w:val="24"/>
        </w:rPr>
        <w:t>成果要求。</w:t>
      </w:r>
      <w:r>
        <w:rPr>
          <w:rFonts w:ascii="宋体" w:hAnsi="宋体" w:eastAsia="宋体" w:cs="宋体"/>
          <w:sz w:val="24"/>
          <w:szCs w:val="24"/>
        </w:rPr>
        <w:t xml:space="preserve"> 提交一份完整的策划方案文档和汇报PPT。</w:t>
      </w:r>
    </w:p>
    <w:p w14:paraId="3FF4EE99">
      <w:pPr>
        <w:spacing w:after="120" w:line="360" w:lineRule="auto"/>
        <w:jc w:val="both"/>
      </w:pPr>
      <w:r>
        <w:rPr>
          <w:rFonts w:ascii="宋体" w:hAnsi="宋体" w:eastAsia="宋体" w:cs="宋体"/>
          <w:b/>
          <w:bCs/>
          <w:sz w:val="24"/>
          <w:szCs w:val="24"/>
        </w:rPr>
        <w:t>评价标准。</w:t>
      </w:r>
    </w:p>
    <w:p w14:paraId="2F8E327B">
      <w:pPr>
        <w:pStyle w:val="19"/>
        <w:numPr>
          <w:ilvl w:val="0"/>
          <w:numId w:val="1"/>
        </w:numPr>
        <w:spacing w:after="60" w:line="340" w:lineRule="auto"/>
      </w:pPr>
      <w:r>
        <w:rPr>
          <w:rFonts w:ascii="宋体" w:hAnsi="宋体" w:eastAsia="宋体" w:cs="宋体"/>
          <w:sz w:val="24"/>
          <w:szCs w:val="24"/>
        </w:rPr>
        <w:t>现状分析准确深入（20%）</w:t>
      </w:r>
    </w:p>
    <w:p w14:paraId="68DB687D">
      <w:pPr>
        <w:pStyle w:val="19"/>
        <w:numPr>
          <w:ilvl w:val="0"/>
          <w:numId w:val="1"/>
        </w:numPr>
        <w:spacing w:after="60" w:line="340" w:lineRule="auto"/>
      </w:pPr>
      <w:r>
        <w:rPr>
          <w:rFonts w:ascii="宋体" w:hAnsi="宋体" w:eastAsia="宋体" w:cs="宋体"/>
          <w:sz w:val="24"/>
          <w:szCs w:val="24"/>
        </w:rPr>
        <w:t>定位策略合理（20%）</w:t>
      </w:r>
    </w:p>
    <w:p w14:paraId="7A309109">
      <w:pPr>
        <w:pStyle w:val="19"/>
        <w:numPr>
          <w:ilvl w:val="0"/>
          <w:numId w:val="1"/>
        </w:numPr>
        <w:spacing w:after="60" w:line="340" w:lineRule="auto"/>
      </w:pPr>
      <w:r>
        <w:rPr>
          <w:rFonts w:ascii="宋体" w:hAnsi="宋体" w:eastAsia="宋体" w:cs="宋体"/>
          <w:sz w:val="24"/>
          <w:szCs w:val="24"/>
        </w:rPr>
        <w:t>产品与体验设计创新实用（30%）</w:t>
      </w:r>
    </w:p>
    <w:p w14:paraId="20B37FF6">
      <w:pPr>
        <w:pStyle w:val="19"/>
        <w:numPr>
          <w:ilvl w:val="0"/>
          <w:numId w:val="1"/>
        </w:numPr>
        <w:spacing w:after="60" w:line="340" w:lineRule="auto"/>
      </w:pPr>
      <w:r>
        <w:rPr>
          <w:rFonts w:ascii="宋体" w:hAnsi="宋体" w:eastAsia="宋体" w:cs="宋体"/>
          <w:sz w:val="24"/>
          <w:szCs w:val="24"/>
        </w:rPr>
        <w:t>运营方案可行（15%）</w:t>
      </w:r>
    </w:p>
    <w:p w14:paraId="0D7F3D05">
      <w:pPr>
        <w:pStyle w:val="19"/>
        <w:numPr>
          <w:ilvl w:val="0"/>
          <w:numId w:val="1"/>
        </w:numPr>
        <w:spacing w:after="60" w:line="340" w:lineRule="auto"/>
      </w:pPr>
      <w:r>
        <w:rPr>
          <w:rFonts w:ascii="宋体" w:hAnsi="宋体" w:eastAsia="宋体" w:cs="宋体"/>
          <w:sz w:val="24"/>
          <w:szCs w:val="24"/>
        </w:rPr>
        <w:t>汇报表达清晰（15%）</w:t>
      </w:r>
    </w:p>
    <w:p w14:paraId="06435ABE">
      <w:pPr>
        <w:pStyle w:val="4"/>
        <w:spacing w:before="300" w:after="200"/>
      </w:pPr>
      <w:bookmarkStart w:id="412" w:name="_Toc30936"/>
      <w:r>
        <w:rPr>
          <w:rFonts w:ascii="黑体" w:hAnsi="黑体" w:eastAsia="黑体" w:cs="黑体"/>
          <w:b/>
          <w:bCs/>
          <w:color w:val="000000"/>
          <w:sz w:val="26"/>
          <w:szCs w:val="26"/>
        </w:rPr>
        <w:t>项目八：屯堡文化数字孪生综合实训</w:t>
      </w:r>
      <w:bookmarkEnd w:id="412"/>
    </w:p>
    <w:p w14:paraId="1E237272">
      <w:pPr>
        <w:spacing w:after="120" w:line="360" w:lineRule="auto"/>
        <w:jc w:val="both"/>
      </w:pPr>
      <w:r>
        <w:rPr>
          <w:rFonts w:ascii="宋体" w:hAnsi="宋体" w:eastAsia="宋体" w:cs="宋体"/>
          <w:b/>
          <w:bCs/>
          <w:sz w:val="24"/>
          <w:szCs w:val="24"/>
        </w:rPr>
        <w:t>实训目标。</w:t>
      </w:r>
      <w:r>
        <w:rPr>
          <w:rFonts w:ascii="宋体" w:hAnsi="宋体" w:eastAsia="宋体" w:cs="宋体"/>
          <w:sz w:val="24"/>
          <w:szCs w:val="24"/>
        </w:rPr>
        <w:t xml:space="preserve"> 整合多门技术，完成一个简化的数字孪生项目。</w:t>
      </w:r>
    </w:p>
    <w:p w14:paraId="7E87827A">
      <w:pPr>
        <w:spacing w:after="120" w:line="360" w:lineRule="auto"/>
        <w:jc w:val="both"/>
      </w:pPr>
      <w:r>
        <w:rPr>
          <w:rFonts w:ascii="宋体" w:hAnsi="宋体" w:eastAsia="宋体" w:cs="宋体"/>
          <w:b/>
          <w:bCs/>
          <w:sz w:val="24"/>
          <w:szCs w:val="24"/>
        </w:rPr>
        <w:t>实训条件。</w:t>
      </w:r>
    </w:p>
    <w:p w14:paraId="092BDBF0">
      <w:pPr>
        <w:pStyle w:val="19"/>
        <w:numPr>
          <w:ilvl w:val="0"/>
          <w:numId w:val="1"/>
        </w:numPr>
        <w:spacing w:after="60" w:line="340" w:lineRule="auto"/>
      </w:pPr>
      <w:r>
        <w:rPr>
          <w:rFonts w:ascii="宋体" w:hAnsi="宋体" w:eastAsia="宋体" w:cs="宋体"/>
          <w:sz w:val="24"/>
          <w:szCs w:val="24"/>
        </w:rPr>
        <w:t>设备：无人机、数码相机、笔记本电脑</w:t>
      </w:r>
    </w:p>
    <w:p w14:paraId="7AD49E15">
      <w:pPr>
        <w:pStyle w:val="19"/>
        <w:numPr>
          <w:ilvl w:val="0"/>
          <w:numId w:val="1"/>
        </w:numPr>
        <w:spacing w:after="60" w:line="340" w:lineRule="auto"/>
      </w:pPr>
      <w:r>
        <w:rPr>
          <w:rFonts w:ascii="宋体" w:hAnsi="宋体" w:eastAsia="宋体" w:cs="宋体"/>
          <w:sz w:val="24"/>
          <w:szCs w:val="24"/>
        </w:rPr>
        <w:t>软件：Pix4Dmatic/Agisoft Metashape、SketchUp、QGIS</w:t>
      </w:r>
    </w:p>
    <w:p w14:paraId="1822338A">
      <w:pPr>
        <w:pStyle w:val="19"/>
        <w:numPr>
          <w:ilvl w:val="0"/>
          <w:numId w:val="1"/>
        </w:numPr>
        <w:spacing w:after="60" w:line="340" w:lineRule="auto"/>
      </w:pPr>
      <w:r>
        <w:rPr>
          <w:rFonts w:ascii="宋体" w:hAnsi="宋体" w:eastAsia="宋体" w:cs="宋体"/>
          <w:sz w:val="24"/>
          <w:szCs w:val="24"/>
        </w:rPr>
        <w:t>对象：一栋小型屯堡建筑或一个小型空间</w:t>
      </w:r>
    </w:p>
    <w:p w14:paraId="3D1A45C7">
      <w:pPr>
        <w:pStyle w:val="19"/>
        <w:numPr>
          <w:ilvl w:val="0"/>
          <w:numId w:val="1"/>
        </w:numPr>
        <w:spacing w:after="60" w:line="340" w:lineRule="auto"/>
      </w:pPr>
      <w:r>
        <w:rPr>
          <w:rFonts w:ascii="宋体" w:hAnsi="宋体" w:eastAsia="宋体" w:cs="宋体"/>
          <w:sz w:val="24"/>
          <w:szCs w:val="24"/>
        </w:rPr>
        <w:t>学时：8学时（分两次完成）</w:t>
      </w:r>
    </w:p>
    <w:p w14:paraId="063593A5">
      <w:pPr>
        <w:spacing w:after="120" w:line="360" w:lineRule="auto"/>
        <w:jc w:val="both"/>
      </w:pPr>
      <w:r>
        <w:rPr>
          <w:rFonts w:ascii="宋体" w:hAnsi="宋体" w:eastAsia="宋体" w:cs="宋体"/>
          <w:b/>
          <w:bCs/>
          <w:sz w:val="24"/>
          <w:szCs w:val="24"/>
        </w:rPr>
        <w:t>实训步骤。</w:t>
      </w:r>
    </w:p>
    <w:p w14:paraId="50E1DB3E">
      <w:pPr>
        <w:pStyle w:val="19"/>
        <w:numPr>
          <w:ilvl w:val="0"/>
          <w:numId w:val="2"/>
        </w:numPr>
        <w:spacing w:after="60" w:line="340" w:lineRule="auto"/>
      </w:pPr>
      <w:r>
        <w:rPr>
          <w:rFonts w:ascii="宋体" w:hAnsi="宋体" w:eastAsia="宋体" w:cs="宋体"/>
          <w:sz w:val="24"/>
          <w:szCs w:val="24"/>
        </w:rPr>
        <w:t>数据采集：无人机航拍+地面照片拍摄（2学时）</w:t>
      </w:r>
    </w:p>
    <w:p w14:paraId="36908757">
      <w:pPr>
        <w:pStyle w:val="19"/>
        <w:numPr>
          <w:ilvl w:val="0"/>
          <w:numId w:val="2"/>
        </w:numPr>
        <w:spacing w:after="60" w:line="340" w:lineRule="auto"/>
      </w:pPr>
      <w:r>
        <w:rPr>
          <w:rFonts w:ascii="宋体" w:hAnsi="宋体" w:eastAsia="宋体" w:cs="宋体"/>
          <w:sz w:val="24"/>
          <w:szCs w:val="24"/>
        </w:rPr>
        <w:t>三维重建：使用摄影测量软件生成三维模型（2学时）</w:t>
      </w:r>
    </w:p>
    <w:p w14:paraId="0EFE06A3">
      <w:pPr>
        <w:pStyle w:val="19"/>
        <w:numPr>
          <w:ilvl w:val="0"/>
          <w:numId w:val="2"/>
        </w:numPr>
        <w:spacing w:after="60" w:line="340" w:lineRule="auto"/>
      </w:pPr>
      <w:r>
        <w:rPr>
          <w:rFonts w:ascii="宋体" w:hAnsi="宋体" w:eastAsia="宋体" w:cs="宋体"/>
          <w:sz w:val="24"/>
          <w:szCs w:val="24"/>
        </w:rPr>
        <w:t>模型优化：简化模型、修复缺陷（1学时）</w:t>
      </w:r>
    </w:p>
    <w:p w14:paraId="08FE4AD8">
      <w:pPr>
        <w:pStyle w:val="19"/>
        <w:numPr>
          <w:ilvl w:val="0"/>
          <w:numId w:val="2"/>
        </w:numPr>
        <w:spacing w:after="60" w:line="340" w:lineRule="auto"/>
      </w:pPr>
      <w:r>
        <w:rPr>
          <w:rFonts w:ascii="宋体" w:hAnsi="宋体" w:eastAsia="宋体" w:cs="宋体"/>
          <w:sz w:val="24"/>
          <w:szCs w:val="24"/>
        </w:rPr>
        <w:t>属性录入：为模型添加基本信息（建筑名称、年代、材料等）（1学时）</w:t>
      </w:r>
    </w:p>
    <w:p w14:paraId="62F0EF1E">
      <w:pPr>
        <w:pStyle w:val="19"/>
        <w:numPr>
          <w:ilvl w:val="0"/>
          <w:numId w:val="2"/>
        </w:numPr>
        <w:spacing w:after="60" w:line="340" w:lineRule="auto"/>
      </w:pPr>
      <w:r>
        <w:rPr>
          <w:rFonts w:ascii="宋体" w:hAnsi="宋体" w:eastAsia="宋体" w:cs="宋体"/>
          <w:sz w:val="24"/>
          <w:szCs w:val="24"/>
        </w:rPr>
        <w:t>传感器模拟：设计虚拟传感器布设方案，在模型中标注（1学时）</w:t>
      </w:r>
    </w:p>
    <w:p w14:paraId="385B69AE">
      <w:pPr>
        <w:pStyle w:val="19"/>
        <w:numPr>
          <w:ilvl w:val="0"/>
          <w:numId w:val="2"/>
        </w:numPr>
        <w:spacing w:after="60" w:line="340" w:lineRule="auto"/>
      </w:pPr>
      <w:r>
        <w:rPr>
          <w:rFonts w:ascii="宋体" w:hAnsi="宋体" w:eastAsia="宋体" w:cs="宋体"/>
          <w:sz w:val="24"/>
          <w:szCs w:val="24"/>
        </w:rPr>
        <w:t>成果整合：将三维模型、属性信息和传感器方案整合为完整的数字孪生方案（1学时）</w:t>
      </w:r>
    </w:p>
    <w:p w14:paraId="57CAA8AC">
      <w:pPr>
        <w:spacing w:after="120" w:line="360" w:lineRule="auto"/>
        <w:jc w:val="both"/>
      </w:pPr>
      <w:r>
        <w:rPr>
          <w:rFonts w:ascii="宋体" w:hAnsi="宋体" w:eastAsia="宋体" w:cs="宋体"/>
          <w:b/>
          <w:bCs/>
          <w:sz w:val="24"/>
          <w:szCs w:val="24"/>
        </w:rPr>
        <w:t>成果要求。</w:t>
      </w:r>
      <w:r>
        <w:rPr>
          <w:rFonts w:ascii="宋体" w:hAnsi="宋体" w:eastAsia="宋体" w:cs="宋体"/>
          <w:sz w:val="24"/>
          <w:szCs w:val="24"/>
        </w:rPr>
        <w:t xml:space="preserve"> 提交三维模型、属性数据表、传感器布设方案和一份综合报告。</w:t>
      </w:r>
    </w:p>
    <w:p w14:paraId="40094805">
      <w:pPr>
        <w:spacing w:after="120" w:line="360" w:lineRule="auto"/>
        <w:jc w:val="both"/>
      </w:pPr>
      <w:r>
        <w:rPr>
          <w:rFonts w:ascii="宋体" w:hAnsi="宋体" w:eastAsia="宋体" w:cs="宋体"/>
          <w:b/>
          <w:bCs/>
          <w:sz w:val="24"/>
          <w:szCs w:val="24"/>
        </w:rPr>
        <w:t>评价标准。</w:t>
      </w:r>
    </w:p>
    <w:p w14:paraId="2B49B4AB">
      <w:pPr>
        <w:pStyle w:val="19"/>
        <w:numPr>
          <w:ilvl w:val="0"/>
          <w:numId w:val="1"/>
        </w:numPr>
        <w:spacing w:after="60" w:line="340" w:lineRule="auto"/>
      </w:pPr>
      <w:r>
        <w:rPr>
          <w:rFonts w:ascii="宋体" w:hAnsi="宋体" w:eastAsia="宋体" w:cs="宋体"/>
          <w:sz w:val="24"/>
          <w:szCs w:val="24"/>
        </w:rPr>
        <w:t>数据采集完整规范（25%）</w:t>
      </w:r>
    </w:p>
    <w:p w14:paraId="23447D49">
      <w:pPr>
        <w:pStyle w:val="19"/>
        <w:numPr>
          <w:ilvl w:val="0"/>
          <w:numId w:val="1"/>
        </w:numPr>
        <w:spacing w:after="60" w:line="340" w:lineRule="auto"/>
      </w:pPr>
      <w:r>
        <w:rPr>
          <w:rFonts w:ascii="宋体" w:hAnsi="宋体" w:eastAsia="宋体" w:cs="宋体"/>
          <w:sz w:val="24"/>
          <w:szCs w:val="24"/>
        </w:rPr>
        <w:t>三维模型质量（25%）</w:t>
      </w:r>
    </w:p>
    <w:p w14:paraId="0B962243">
      <w:pPr>
        <w:pStyle w:val="19"/>
        <w:numPr>
          <w:ilvl w:val="0"/>
          <w:numId w:val="1"/>
        </w:numPr>
        <w:spacing w:after="60" w:line="340" w:lineRule="auto"/>
      </w:pPr>
      <w:r>
        <w:rPr>
          <w:rFonts w:ascii="宋体" w:hAnsi="宋体" w:eastAsia="宋体" w:cs="宋体"/>
          <w:sz w:val="24"/>
          <w:szCs w:val="24"/>
        </w:rPr>
        <w:t>属性信息准确完整（20%）</w:t>
      </w:r>
    </w:p>
    <w:p w14:paraId="3BAD3F21">
      <w:pPr>
        <w:pStyle w:val="19"/>
        <w:numPr>
          <w:ilvl w:val="0"/>
          <w:numId w:val="1"/>
        </w:numPr>
        <w:spacing w:after="60" w:line="340" w:lineRule="auto"/>
      </w:pPr>
      <w:r>
        <w:rPr>
          <w:rFonts w:ascii="宋体" w:hAnsi="宋体" w:eastAsia="宋体" w:cs="宋体"/>
          <w:sz w:val="24"/>
          <w:szCs w:val="24"/>
        </w:rPr>
        <w:t>传感器方案合理（15%）</w:t>
      </w:r>
    </w:p>
    <w:p w14:paraId="3FE6A1A5">
      <w:pPr>
        <w:pStyle w:val="19"/>
        <w:numPr>
          <w:ilvl w:val="0"/>
          <w:numId w:val="1"/>
        </w:numPr>
        <w:spacing w:after="60" w:line="340" w:lineRule="auto"/>
      </w:pPr>
      <w:r>
        <w:rPr>
          <w:rFonts w:ascii="宋体" w:hAnsi="宋体" w:eastAsia="宋体" w:cs="宋体"/>
          <w:sz w:val="24"/>
          <w:szCs w:val="24"/>
        </w:rPr>
        <w:t>综合报告条理清晰（15%）</w:t>
      </w:r>
    </w:p>
    <w:p w14:paraId="7B8AD162">
      <w:pPr>
        <w:pStyle w:val="3"/>
        <w:spacing w:before="300" w:after="200"/>
      </w:pPr>
      <w:bookmarkStart w:id="413" w:name="_Toc6699"/>
      <w:r>
        <w:rPr>
          <w:rFonts w:ascii="黑体" w:hAnsi="黑体" w:eastAsia="黑体" w:cs="黑体"/>
          <w:b/>
          <w:bCs/>
          <w:color w:val="000000"/>
          <w:sz w:val="28"/>
          <w:szCs w:val="28"/>
        </w:rPr>
        <w:t>F.3 实训安全规范</w:t>
      </w:r>
      <w:bookmarkEnd w:id="413"/>
    </w:p>
    <w:p w14:paraId="68EC73AD">
      <w:pPr>
        <w:pStyle w:val="19"/>
        <w:numPr>
          <w:ilvl w:val="0"/>
          <w:numId w:val="2"/>
        </w:numPr>
        <w:spacing w:after="60" w:line="340" w:lineRule="auto"/>
      </w:pPr>
      <w:r>
        <w:rPr>
          <w:rFonts w:ascii="宋体" w:hAnsi="宋体" w:eastAsia="宋体" w:cs="宋体"/>
          <w:sz w:val="24"/>
          <w:szCs w:val="24"/>
        </w:rPr>
        <w:t>无人机飞行须遵守当地空域管理规定，飞行前须获得许可</w:t>
      </w:r>
    </w:p>
    <w:p w14:paraId="6D3A4EE7">
      <w:pPr>
        <w:pStyle w:val="19"/>
        <w:numPr>
          <w:ilvl w:val="0"/>
          <w:numId w:val="2"/>
        </w:numPr>
        <w:spacing w:after="60" w:line="340" w:lineRule="auto"/>
      </w:pPr>
      <w:r>
        <w:rPr>
          <w:rFonts w:ascii="宋体" w:hAnsi="宋体" w:eastAsia="宋体" w:cs="宋体"/>
          <w:sz w:val="24"/>
          <w:szCs w:val="24"/>
        </w:rPr>
        <w:t>在古建筑内进行数据采集时，不得触碰、攀爬文物本体</w:t>
      </w:r>
    </w:p>
    <w:p w14:paraId="70066860">
      <w:pPr>
        <w:pStyle w:val="19"/>
        <w:numPr>
          <w:ilvl w:val="0"/>
          <w:numId w:val="2"/>
        </w:numPr>
        <w:spacing w:after="60" w:line="340" w:lineRule="auto"/>
      </w:pPr>
      <w:r>
        <w:rPr>
          <w:rFonts w:ascii="宋体" w:hAnsi="宋体" w:eastAsia="宋体" w:cs="宋体"/>
          <w:sz w:val="24"/>
          <w:szCs w:val="24"/>
        </w:rPr>
        <w:t>使用激光扫描仪等设备时注意用电安全</w:t>
      </w:r>
    </w:p>
    <w:p w14:paraId="7A5818FF">
      <w:pPr>
        <w:pStyle w:val="19"/>
        <w:numPr>
          <w:ilvl w:val="0"/>
          <w:numId w:val="2"/>
        </w:numPr>
        <w:spacing w:after="60" w:line="340" w:lineRule="auto"/>
      </w:pPr>
      <w:r>
        <w:rPr>
          <w:rFonts w:ascii="宋体" w:hAnsi="宋体" w:eastAsia="宋体" w:cs="宋体"/>
          <w:sz w:val="24"/>
          <w:szCs w:val="24"/>
        </w:rPr>
        <w:t>拍摄地戏表演须事先获得表演者和社区的同意</w:t>
      </w:r>
    </w:p>
    <w:p w14:paraId="664F7C16">
      <w:pPr>
        <w:pStyle w:val="19"/>
        <w:numPr>
          <w:ilvl w:val="0"/>
          <w:numId w:val="2"/>
        </w:numPr>
        <w:spacing w:after="60" w:line="340" w:lineRule="auto"/>
      </w:pPr>
      <w:r>
        <w:rPr>
          <w:rFonts w:ascii="宋体" w:hAnsi="宋体" w:eastAsia="宋体" w:cs="宋体"/>
          <w:sz w:val="24"/>
          <w:szCs w:val="24"/>
        </w:rPr>
        <w:t>实训产生的数据不得未经许可在互联网上公开发布</w:t>
      </w:r>
    </w:p>
    <w:p w14:paraId="733A22BB">
      <w:pPr>
        <w:pStyle w:val="19"/>
        <w:numPr>
          <w:ilvl w:val="0"/>
          <w:numId w:val="2"/>
        </w:numPr>
        <w:spacing w:after="60" w:line="340" w:lineRule="auto"/>
      </w:pPr>
      <w:r>
        <w:rPr>
          <w:rFonts w:ascii="宋体" w:hAnsi="宋体" w:eastAsia="宋体" w:cs="宋体"/>
          <w:sz w:val="24"/>
          <w:szCs w:val="24"/>
        </w:rPr>
        <w:t>进入村寨实训须尊重当地居民的生活习惯和隐私</w:t>
      </w:r>
    </w:p>
    <w:p w14:paraId="01B708E1">
      <w:r>
        <w:br w:type="page"/>
      </w:r>
    </w:p>
    <w:p w14:paraId="4C8F344C">
      <w:pPr>
        <w:pStyle w:val="2"/>
        <w:spacing w:before="400" w:after="200"/>
      </w:pPr>
      <w:bookmarkStart w:id="414" w:name="_Toc30671"/>
      <w:r>
        <w:rPr>
          <w:rFonts w:ascii="黑体" w:hAnsi="黑体" w:eastAsia="黑体" w:cs="黑体"/>
          <w:b/>
          <w:bCs/>
          <w:color w:val="1F4E79"/>
          <w:sz w:val="32"/>
          <w:szCs w:val="32"/>
        </w:rPr>
        <w:t>附录G 屯堡文化保护与活化大事记</w:t>
      </w:r>
      <w:bookmarkEnd w:id="414"/>
    </w:p>
    <w:p w14:paraId="6DA18A93">
      <w:pPr>
        <w:pStyle w:val="3"/>
        <w:spacing w:before="300" w:after="200"/>
      </w:pPr>
      <w:bookmarkStart w:id="415" w:name="_Toc11962"/>
      <w:r>
        <w:rPr>
          <w:rFonts w:ascii="黑体" w:hAnsi="黑体" w:eastAsia="黑体" w:cs="黑体"/>
          <w:b/>
          <w:bCs/>
          <w:color w:val="000000"/>
          <w:sz w:val="28"/>
          <w:szCs w:val="28"/>
        </w:rPr>
        <w:t>G.1 明代（1368-1644）：屯堡形成时期</w:t>
      </w:r>
      <w:bookmarkEnd w:id="41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70E1C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B9F5712">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F9FDDB5">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12A8092">
            <w:pPr>
              <w:spacing w:after="0"/>
            </w:pPr>
            <w:r>
              <w:rPr>
                <w:rFonts w:ascii="宋体" w:hAnsi="宋体" w:eastAsia="宋体" w:cs="宋体"/>
                <w:b/>
                <w:bCs/>
                <w:color w:val="FFFFFF"/>
                <w:sz w:val="20"/>
                <w:szCs w:val="20"/>
              </w:rPr>
              <w:t>意义</w:t>
            </w:r>
          </w:p>
        </w:tc>
      </w:tr>
      <w:tr w14:paraId="07022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3B1452">
            <w:pPr>
              <w:spacing w:after="0"/>
            </w:pPr>
            <w:r>
              <w:rPr>
                <w:rFonts w:ascii="宋体" w:hAnsi="宋体" w:eastAsia="宋体" w:cs="宋体"/>
                <w:sz w:val="20"/>
                <w:szCs w:val="20"/>
              </w:rPr>
              <w:t>1381年（洪武十四年）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C03481">
            <w:pPr>
              <w:spacing w:after="0"/>
            </w:pPr>
            <w:r>
              <w:rPr>
                <w:rFonts w:ascii="宋体" w:hAnsi="宋体" w:eastAsia="宋体" w:cs="宋体"/>
                <w:sz w:val="20"/>
                <w:szCs w:val="20"/>
              </w:rPr>
              <w:t>朱元璋命傅友德、蓝玉、沐英率三十万大军"调北征南"</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031F47">
            <w:pPr>
              <w:spacing w:after="0"/>
            </w:pPr>
            <w:r>
              <w:rPr>
                <w:rFonts w:ascii="宋体" w:hAnsi="宋体" w:eastAsia="宋体" w:cs="宋体"/>
                <w:sz w:val="20"/>
                <w:szCs w:val="20"/>
              </w:rPr>
              <w:t>屯堡形成的起点</w:t>
            </w:r>
          </w:p>
        </w:tc>
      </w:tr>
      <w:tr w14:paraId="21B68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9027A4E">
            <w:pPr>
              <w:spacing w:after="0"/>
            </w:pPr>
            <w:r>
              <w:rPr>
                <w:rFonts w:ascii="宋体" w:hAnsi="宋体" w:eastAsia="宋体" w:cs="宋体"/>
                <w:sz w:val="20"/>
                <w:szCs w:val="20"/>
              </w:rPr>
              <w:t>1382年（洪武十五年）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63A424">
            <w:pPr>
              <w:spacing w:after="0"/>
            </w:pPr>
            <w:r>
              <w:rPr>
                <w:rFonts w:ascii="宋体" w:hAnsi="宋体" w:eastAsia="宋体" w:cs="宋体"/>
                <w:sz w:val="20"/>
                <w:szCs w:val="20"/>
              </w:rPr>
              <w:t>明军平定云南，在黔中驿道沿线设立卫所</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CB057B">
            <w:pPr>
              <w:spacing w:after="0"/>
            </w:pPr>
            <w:r>
              <w:rPr>
                <w:rFonts w:ascii="宋体" w:hAnsi="宋体" w:eastAsia="宋体" w:cs="宋体"/>
                <w:sz w:val="20"/>
                <w:szCs w:val="20"/>
              </w:rPr>
              <w:t>普定卫（今安顺）等卫所建立</w:t>
            </w:r>
          </w:p>
        </w:tc>
      </w:tr>
      <w:tr w14:paraId="57A92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CC8C65">
            <w:pPr>
              <w:spacing w:after="0"/>
            </w:pPr>
            <w:r>
              <w:rPr>
                <w:rFonts w:ascii="宋体" w:hAnsi="宋体" w:eastAsia="宋体" w:cs="宋体"/>
                <w:sz w:val="20"/>
                <w:szCs w:val="20"/>
              </w:rPr>
              <w:t>1382-1390年代</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5341B2">
            <w:pPr>
              <w:spacing w:after="0"/>
            </w:pPr>
            <w:r>
              <w:rPr>
                <w:rFonts w:ascii="宋体" w:hAnsi="宋体" w:eastAsia="宋体" w:cs="宋体"/>
                <w:sz w:val="20"/>
                <w:szCs w:val="20"/>
              </w:rPr>
              <w:t>大规模屯田和筑堡</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F7348D">
            <w:pPr>
              <w:spacing w:after="0"/>
            </w:pPr>
            <w:r>
              <w:rPr>
                <w:rFonts w:ascii="宋体" w:hAnsi="宋体" w:eastAsia="宋体" w:cs="宋体"/>
                <w:sz w:val="20"/>
                <w:szCs w:val="20"/>
              </w:rPr>
              <w:t>屯堡聚落体系初步形成</w:t>
            </w:r>
          </w:p>
        </w:tc>
      </w:tr>
      <w:tr w14:paraId="285D6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B51C3B">
            <w:pPr>
              <w:spacing w:after="0"/>
            </w:pPr>
            <w:r>
              <w:rPr>
                <w:rFonts w:ascii="宋体" w:hAnsi="宋体" w:eastAsia="宋体" w:cs="宋体"/>
                <w:sz w:val="20"/>
                <w:szCs w:val="20"/>
              </w:rPr>
              <w:t>15-16世纪</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229E87">
            <w:pPr>
              <w:spacing w:after="0"/>
            </w:pPr>
            <w:r>
              <w:rPr>
                <w:rFonts w:ascii="宋体" w:hAnsi="宋体" w:eastAsia="宋体" w:cs="宋体"/>
                <w:sz w:val="20"/>
                <w:szCs w:val="20"/>
              </w:rPr>
              <w:t>屯堡文化逐渐成型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A830AC">
            <w:pPr>
              <w:spacing w:after="0"/>
            </w:pPr>
            <w:r>
              <w:rPr>
                <w:rFonts w:ascii="宋体" w:hAnsi="宋体" w:eastAsia="宋体" w:cs="宋体"/>
                <w:sz w:val="20"/>
                <w:szCs w:val="20"/>
              </w:rPr>
              <w:t>建筑、语言、服饰、习俗等特征形成</w:t>
            </w:r>
          </w:p>
        </w:tc>
      </w:tr>
      <w:tr w14:paraId="62E77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825335">
            <w:pPr>
              <w:spacing w:after="0"/>
            </w:pPr>
            <w:r>
              <w:rPr>
                <w:rFonts w:ascii="宋体" w:hAnsi="宋体" w:eastAsia="宋体" w:cs="宋体"/>
                <w:sz w:val="20"/>
                <w:szCs w:val="20"/>
              </w:rPr>
              <w:t>16世纪末</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7942EB">
            <w:pPr>
              <w:spacing w:after="0"/>
            </w:pPr>
            <w:r>
              <w:rPr>
                <w:rFonts w:ascii="宋体" w:hAnsi="宋体" w:eastAsia="宋体" w:cs="宋体"/>
                <w:sz w:val="20"/>
                <w:szCs w:val="20"/>
              </w:rPr>
              <w:t>地戏从军傩中脱胎而出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F65E10">
            <w:pPr>
              <w:spacing w:after="0"/>
            </w:pPr>
            <w:r>
              <w:rPr>
                <w:rFonts w:ascii="宋体" w:hAnsi="宋体" w:eastAsia="宋体" w:cs="宋体"/>
                <w:sz w:val="20"/>
                <w:szCs w:val="20"/>
              </w:rPr>
              <w:t>地戏成为屯堡人独特的文化表达</w:t>
            </w:r>
          </w:p>
        </w:tc>
      </w:tr>
    </w:tbl>
    <w:p w14:paraId="3CEBF8BD">
      <w:pPr>
        <w:pStyle w:val="3"/>
        <w:spacing w:before="300" w:after="200"/>
      </w:pPr>
      <w:bookmarkStart w:id="416" w:name="_Toc7266"/>
      <w:r>
        <w:rPr>
          <w:rFonts w:ascii="黑体" w:hAnsi="黑体" w:eastAsia="黑体" w:cs="黑体"/>
          <w:b/>
          <w:bCs/>
          <w:color w:val="000000"/>
          <w:sz w:val="28"/>
          <w:szCs w:val="28"/>
        </w:rPr>
        <w:t>G.2 清代至民国（1644-1949）：延续与变迁</w:t>
      </w:r>
      <w:bookmarkEnd w:id="416"/>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3B310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9A67077">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C8928D8">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94A1D0D">
            <w:pPr>
              <w:spacing w:after="0"/>
            </w:pPr>
            <w:r>
              <w:rPr>
                <w:rFonts w:ascii="宋体" w:hAnsi="宋体" w:eastAsia="宋体" w:cs="宋体"/>
                <w:b/>
                <w:bCs/>
                <w:color w:val="FFFFFF"/>
                <w:sz w:val="20"/>
                <w:szCs w:val="20"/>
              </w:rPr>
              <w:t>意义</w:t>
            </w:r>
          </w:p>
        </w:tc>
      </w:tr>
      <w:tr w14:paraId="41AFE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8263C4">
            <w:pPr>
              <w:spacing w:after="0"/>
            </w:pPr>
            <w:r>
              <w:rPr>
                <w:rFonts w:ascii="宋体" w:hAnsi="宋体" w:eastAsia="宋体" w:cs="宋体"/>
                <w:sz w:val="20"/>
                <w:szCs w:val="20"/>
              </w:rPr>
              <w:t>清初</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F8FC6E">
            <w:pPr>
              <w:spacing w:after="0"/>
            </w:pPr>
            <w:r>
              <w:rPr>
                <w:rFonts w:ascii="宋体" w:hAnsi="宋体" w:eastAsia="宋体" w:cs="宋体"/>
                <w:sz w:val="20"/>
                <w:szCs w:val="20"/>
              </w:rPr>
              <w:t>"改土归流"后，卫所制度废除</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62BC0C">
            <w:pPr>
              <w:spacing w:after="0"/>
            </w:pPr>
            <w:r>
              <w:rPr>
                <w:rFonts w:ascii="宋体" w:hAnsi="宋体" w:eastAsia="宋体" w:cs="宋体"/>
                <w:sz w:val="20"/>
                <w:szCs w:val="20"/>
              </w:rPr>
              <w:t>屯堡从军事编制变为普通聚落</w:t>
            </w:r>
          </w:p>
        </w:tc>
      </w:tr>
      <w:tr w14:paraId="765D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8802C8">
            <w:pPr>
              <w:spacing w:after="0"/>
            </w:pPr>
            <w:r>
              <w:rPr>
                <w:rFonts w:ascii="宋体" w:hAnsi="宋体" w:eastAsia="宋体" w:cs="宋体"/>
                <w:sz w:val="20"/>
                <w:szCs w:val="20"/>
              </w:rPr>
              <w:t>18-19世纪</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242F02">
            <w:pPr>
              <w:spacing w:after="0"/>
            </w:pPr>
            <w:r>
              <w:rPr>
                <w:rFonts w:ascii="宋体" w:hAnsi="宋体" w:eastAsia="宋体" w:cs="宋体"/>
                <w:sz w:val="20"/>
                <w:szCs w:val="20"/>
              </w:rPr>
              <w:t>屯堡建筑大规模修建和修缮</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D03502">
            <w:pPr>
              <w:spacing w:after="0"/>
            </w:pPr>
            <w:r>
              <w:rPr>
                <w:rFonts w:ascii="宋体" w:hAnsi="宋体" w:eastAsia="宋体" w:cs="宋体"/>
                <w:sz w:val="20"/>
                <w:szCs w:val="20"/>
              </w:rPr>
              <w:t>现存大部分古建筑建于此时</w:t>
            </w:r>
          </w:p>
        </w:tc>
      </w:tr>
      <w:tr w14:paraId="6DF67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CE6DA2">
            <w:pPr>
              <w:spacing w:after="0"/>
            </w:pPr>
            <w:r>
              <w:rPr>
                <w:rFonts w:ascii="宋体" w:hAnsi="宋体" w:eastAsia="宋体" w:cs="宋体"/>
                <w:sz w:val="20"/>
                <w:szCs w:val="20"/>
              </w:rPr>
              <w:t>1902年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932160">
            <w:pPr>
              <w:spacing w:after="0"/>
            </w:pPr>
            <w:r>
              <w:rPr>
                <w:rFonts w:ascii="宋体" w:hAnsi="宋体" w:eastAsia="宋体" w:cs="宋体"/>
                <w:sz w:val="20"/>
                <w:szCs w:val="20"/>
              </w:rPr>
              <w:t>日本学者鸟居龙藏考察贵州，首次记录屯堡文化</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602440">
            <w:pPr>
              <w:spacing w:after="0"/>
            </w:pPr>
            <w:r>
              <w:rPr>
                <w:rFonts w:ascii="宋体" w:hAnsi="宋体" w:eastAsia="宋体" w:cs="宋体"/>
                <w:sz w:val="20"/>
                <w:szCs w:val="20"/>
              </w:rPr>
              <w:t>屯堡文化进入学术视野</w:t>
            </w:r>
          </w:p>
        </w:tc>
      </w:tr>
      <w:tr w14:paraId="7C6FA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03D11A">
            <w:pPr>
              <w:spacing w:after="0"/>
            </w:pPr>
            <w:r>
              <w:rPr>
                <w:rFonts w:ascii="宋体" w:hAnsi="宋体" w:eastAsia="宋体" w:cs="宋体"/>
                <w:sz w:val="20"/>
                <w:szCs w:val="20"/>
              </w:rPr>
              <w:t>1930-40年代</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587546">
            <w:pPr>
              <w:spacing w:after="0"/>
            </w:pPr>
            <w:r>
              <w:rPr>
                <w:rFonts w:ascii="宋体" w:hAnsi="宋体" w:eastAsia="宋体" w:cs="宋体"/>
                <w:sz w:val="20"/>
                <w:szCs w:val="20"/>
              </w:rPr>
              <w:t>费孝通、吴晗等学者关注屯堡文化</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3A96818">
            <w:pPr>
              <w:spacing w:after="0"/>
            </w:pPr>
            <w:r>
              <w:rPr>
                <w:rFonts w:ascii="宋体" w:hAnsi="宋体" w:eastAsia="宋体" w:cs="宋体"/>
                <w:sz w:val="20"/>
                <w:szCs w:val="20"/>
              </w:rPr>
              <w:t>中国学者开始系统研究屯堡</w:t>
            </w:r>
          </w:p>
        </w:tc>
      </w:tr>
    </w:tbl>
    <w:p w14:paraId="46431F28">
      <w:pPr>
        <w:pStyle w:val="3"/>
        <w:spacing w:before="300" w:after="200"/>
      </w:pPr>
      <w:bookmarkStart w:id="417" w:name="_Toc22112"/>
      <w:r>
        <w:rPr>
          <w:rFonts w:ascii="黑体" w:hAnsi="黑体" w:eastAsia="黑体" w:cs="黑体"/>
          <w:b/>
          <w:bCs/>
          <w:color w:val="000000"/>
          <w:sz w:val="28"/>
          <w:szCs w:val="28"/>
        </w:rPr>
        <w:t>G.3 新中国成立至改革开放前（1949-1978）</w:t>
      </w:r>
      <w:bookmarkEnd w:id="417"/>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1388D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08BD8CD">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850E738">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8144D80">
            <w:pPr>
              <w:spacing w:after="0"/>
            </w:pPr>
            <w:r>
              <w:rPr>
                <w:rFonts w:ascii="宋体" w:hAnsi="宋体" w:eastAsia="宋体" w:cs="宋体"/>
                <w:b/>
                <w:bCs/>
                <w:color w:val="FFFFFF"/>
                <w:sz w:val="20"/>
                <w:szCs w:val="20"/>
              </w:rPr>
              <w:t>意义</w:t>
            </w:r>
          </w:p>
        </w:tc>
      </w:tr>
      <w:tr w14:paraId="46AFC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B0A241">
            <w:pPr>
              <w:spacing w:after="0"/>
            </w:pPr>
            <w:r>
              <w:rPr>
                <w:rFonts w:ascii="宋体" w:hAnsi="宋体" w:eastAsia="宋体" w:cs="宋体"/>
                <w:sz w:val="20"/>
                <w:szCs w:val="20"/>
              </w:rPr>
              <w:t>1950年代</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C15074">
            <w:pPr>
              <w:spacing w:after="0"/>
            </w:pPr>
            <w:r>
              <w:rPr>
                <w:rFonts w:ascii="宋体" w:hAnsi="宋体" w:eastAsia="宋体" w:cs="宋体"/>
                <w:sz w:val="20"/>
                <w:szCs w:val="20"/>
              </w:rPr>
              <w:t>屯堡地区土地改革和集体化</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7238D8">
            <w:pPr>
              <w:spacing w:after="0"/>
            </w:pPr>
            <w:r>
              <w:rPr>
                <w:rFonts w:ascii="宋体" w:hAnsi="宋体" w:eastAsia="宋体" w:cs="宋体"/>
                <w:sz w:val="20"/>
                <w:szCs w:val="20"/>
              </w:rPr>
              <w:t>传统社区结构开始变化</w:t>
            </w:r>
          </w:p>
        </w:tc>
      </w:tr>
      <w:tr w14:paraId="3BF38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DE4113">
            <w:pPr>
              <w:spacing w:after="0"/>
            </w:pPr>
            <w:r>
              <w:rPr>
                <w:rFonts w:ascii="宋体" w:hAnsi="宋体" w:eastAsia="宋体" w:cs="宋体"/>
                <w:sz w:val="20"/>
                <w:szCs w:val="20"/>
              </w:rPr>
              <w:t>1956年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A21BD29">
            <w:pPr>
              <w:spacing w:after="0"/>
            </w:pPr>
            <w:r>
              <w:rPr>
                <w:rFonts w:ascii="宋体" w:hAnsi="宋体" w:eastAsia="宋体" w:cs="宋体"/>
                <w:sz w:val="20"/>
                <w:szCs w:val="20"/>
              </w:rPr>
              <w:t>安顺地戏参加贵州省民间艺术会演</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3C05F0">
            <w:pPr>
              <w:spacing w:after="0"/>
            </w:pPr>
            <w:r>
              <w:rPr>
                <w:rFonts w:ascii="宋体" w:hAnsi="宋体" w:eastAsia="宋体" w:cs="宋体"/>
                <w:sz w:val="20"/>
                <w:szCs w:val="20"/>
              </w:rPr>
              <w:t>地戏从"迷信活动"转变为"民间艺术"</w:t>
            </w:r>
          </w:p>
        </w:tc>
      </w:tr>
      <w:tr w14:paraId="4C88A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D9ECE8B">
            <w:pPr>
              <w:spacing w:after="0"/>
            </w:pPr>
            <w:r>
              <w:rPr>
                <w:rFonts w:ascii="宋体" w:hAnsi="宋体" w:eastAsia="宋体" w:cs="宋体"/>
                <w:sz w:val="20"/>
                <w:szCs w:val="20"/>
              </w:rPr>
              <w:t>1966-1976年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4B493FC">
            <w:pPr>
              <w:spacing w:after="0"/>
            </w:pPr>
            <w:r>
              <w:rPr>
                <w:rFonts w:ascii="宋体" w:hAnsi="宋体" w:eastAsia="宋体" w:cs="宋体"/>
                <w:sz w:val="20"/>
                <w:szCs w:val="20"/>
              </w:rPr>
              <w:t>"文化大革命"期间地戏被视为"四旧"</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4ED08D">
            <w:pPr>
              <w:spacing w:after="0"/>
            </w:pPr>
            <w:r>
              <w:rPr>
                <w:rFonts w:ascii="宋体" w:hAnsi="宋体" w:eastAsia="宋体" w:cs="宋体"/>
                <w:sz w:val="20"/>
                <w:szCs w:val="20"/>
              </w:rPr>
              <w:t>地戏表演中断，部分面具被毁</w:t>
            </w:r>
          </w:p>
        </w:tc>
      </w:tr>
    </w:tbl>
    <w:p w14:paraId="6FB4CE7A">
      <w:pPr>
        <w:pStyle w:val="3"/>
        <w:spacing w:before="300" w:after="200"/>
      </w:pPr>
      <w:bookmarkStart w:id="418" w:name="_Toc12532"/>
      <w:r>
        <w:rPr>
          <w:rFonts w:ascii="黑体" w:hAnsi="黑体" w:eastAsia="黑体" w:cs="黑体"/>
          <w:b/>
          <w:bCs/>
          <w:color w:val="000000"/>
          <w:sz w:val="28"/>
          <w:szCs w:val="28"/>
        </w:rPr>
        <w:t>G.4 改革开放至世纪之交（1978-2000）</w:t>
      </w:r>
      <w:bookmarkEnd w:id="418"/>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0927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244D9AB">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46457E2">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47104F8">
            <w:pPr>
              <w:spacing w:after="0"/>
            </w:pPr>
            <w:r>
              <w:rPr>
                <w:rFonts w:ascii="宋体" w:hAnsi="宋体" w:eastAsia="宋体" w:cs="宋体"/>
                <w:b/>
                <w:bCs/>
                <w:color w:val="FFFFFF"/>
                <w:sz w:val="20"/>
                <w:szCs w:val="20"/>
              </w:rPr>
              <w:t>意义</w:t>
            </w:r>
          </w:p>
        </w:tc>
      </w:tr>
      <w:tr w14:paraId="59125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135DA5">
            <w:pPr>
              <w:spacing w:after="0"/>
            </w:pPr>
            <w:r>
              <w:rPr>
                <w:rFonts w:ascii="宋体" w:hAnsi="宋体" w:eastAsia="宋体" w:cs="宋体"/>
                <w:sz w:val="20"/>
                <w:szCs w:val="20"/>
              </w:rPr>
              <w:t>1980年代</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CF8AC84">
            <w:pPr>
              <w:spacing w:after="0"/>
            </w:pPr>
            <w:r>
              <w:rPr>
                <w:rFonts w:ascii="宋体" w:hAnsi="宋体" w:eastAsia="宋体" w:cs="宋体"/>
                <w:sz w:val="20"/>
                <w:szCs w:val="20"/>
              </w:rPr>
              <w:t>地戏恢复演出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B81BFA">
            <w:pPr>
              <w:spacing w:after="0"/>
            </w:pPr>
            <w:r>
              <w:rPr>
                <w:rFonts w:ascii="宋体" w:hAnsi="宋体" w:eastAsia="宋体" w:cs="宋体"/>
                <w:sz w:val="20"/>
                <w:szCs w:val="20"/>
              </w:rPr>
              <w:t>传统文化开始复苏</w:t>
            </w:r>
          </w:p>
        </w:tc>
      </w:tr>
      <w:tr w14:paraId="64F22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4AD096">
            <w:pPr>
              <w:spacing w:after="0"/>
            </w:pPr>
            <w:r>
              <w:rPr>
                <w:rFonts w:ascii="宋体" w:hAnsi="宋体" w:eastAsia="宋体" w:cs="宋体"/>
                <w:sz w:val="20"/>
                <w:szCs w:val="20"/>
              </w:rPr>
              <w:t>1986年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2432A0">
            <w:pPr>
              <w:spacing w:after="0"/>
            </w:pPr>
            <w:r>
              <w:rPr>
                <w:rFonts w:ascii="宋体" w:hAnsi="宋体" w:eastAsia="宋体" w:cs="宋体"/>
                <w:sz w:val="20"/>
                <w:szCs w:val="20"/>
              </w:rPr>
              <w:t>安顺地戏赴法国巴黎演出</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DA19DC">
            <w:pPr>
              <w:spacing w:after="0"/>
            </w:pPr>
            <w:r>
              <w:rPr>
                <w:rFonts w:ascii="宋体" w:hAnsi="宋体" w:eastAsia="宋体" w:cs="宋体"/>
                <w:sz w:val="20"/>
                <w:szCs w:val="20"/>
              </w:rPr>
              <w:t>地戏首次走出国门</w:t>
            </w:r>
          </w:p>
        </w:tc>
      </w:tr>
      <w:tr w14:paraId="29C34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7214A7">
            <w:pPr>
              <w:spacing w:after="0"/>
            </w:pPr>
            <w:r>
              <w:rPr>
                <w:rFonts w:ascii="宋体" w:hAnsi="宋体" w:eastAsia="宋体" w:cs="宋体"/>
                <w:sz w:val="20"/>
                <w:szCs w:val="20"/>
              </w:rPr>
              <w:t>1990年代</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C06DEF">
            <w:pPr>
              <w:spacing w:after="0"/>
            </w:pPr>
            <w:r>
              <w:rPr>
                <w:rFonts w:ascii="宋体" w:hAnsi="宋体" w:eastAsia="宋体" w:cs="宋体"/>
                <w:sz w:val="20"/>
                <w:szCs w:val="20"/>
              </w:rPr>
              <w:t>屯堡文化研究升温</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72B947">
            <w:pPr>
              <w:spacing w:after="0"/>
            </w:pPr>
            <w:r>
              <w:rPr>
                <w:rFonts w:ascii="宋体" w:hAnsi="宋体" w:eastAsia="宋体" w:cs="宋体"/>
                <w:sz w:val="20"/>
                <w:szCs w:val="20"/>
              </w:rPr>
              <w:t>多学科学者关注屯堡，研究论著增多</w:t>
            </w:r>
          </w:p>
        </w:tc>
      </w:tr>
      <w:tr w14:paraId="3A59D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FA6F52">
            <w:pPr>
              <w:spacing w:after="0"/>
            </w:pPr>
            <w:r>
              <w:rPr>
                <w:rFonts w:ascii="宋体" w:hAnsi="宋体" w:eastAsia="宋体" w:cs="宋体"/>
                <w:sz w:val="20"/>
                <w:szCs w:val="20"/>
              </w:rPr>
              <w:t>1999年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EFF41B">
            <w:pPr>
              <w:spacing w:after="0"/>
            </w:pPr>
            <w:r>
              <w:rPr>
                <w:rFonts w:ascii="宋体" w:hAnsi="宋体" w:eastAsia="宋体" w:cs="宋体"/>
                <w:sz w:val="20"/>
                <w:szCs w:val="20"/>
              </w:rPr>
              <w:t>天龙屯堡开始酝酿旅游开发</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19D87C">
            <w:pPr>
              <w:spacing w:after="0"/>
            </w:pPr>
            <w:r>
              <w:rPr>
                <w:rFonts w:ascii="宋体" w:hAnsi="宋体" w:eastAsia="宋体" w:cs="宋体"/>
                <w:sz w:val="20"/>
                <w:szCs w:val="20"/>
              </w:rPr>
              <w:t>屯堡文化旅游起步</w:t>
            </w:r>
          </w:p>
        </w:tc>
      </w:tr>
    </w:tbl>
    <w:p w14:paraId="1AEE0787">
      <w:pPr>
        <w:pStyle w:val="3"/>
        <w:spacing w:before="300" w:after="200"/>
      </w:pPr>
      <w:bookmarkStart w:id="419" w:name="_Toc4924"/>
      <w:r>
        <w:rPr>
          <w:rFonts w:ascii="黑体" w:hAnsi="黑体" w:eastAsia="黑体" w:cs="黑体"/>
          <w:b/>
          <w:bCs/>
          <w:color w:val="000000"/>
          <w:sz w:val="28"/>
          <w:szCs w:val="28"/>
        </w:rPr>
        <w:t>G.5 21世纪前二十年（2001-2020）</w:t>
      </w:r>
      <w:bookmarkEnd w:id="41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0ED4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2FBADA1">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F1C8CC0">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ADA1024">
            <w:pPr>
              <w:spacing w:after="0"/>
            </w:pPr>
            <w:r>
              <w:rPr>
                <w:rFonts w:ascii="宋体" w:hAnsi="宋体" w:eastAsia="宋体" w:cs="宋体"/>
                <w:b/>
                <w:bCs/>
                <w:color w:val="FFFFFF"/>
                <w:sz w:val="20"/>
                <w:szCs w:val="20"/>
              </w:rPr>
              <w:t>意义</w:t>
            </w:r>
          </w:p>
        </w:tc>
      </w:tr>
      <w:tr w14:paraId="6A53E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9D0761">
            <w:pPr>
              <w:spacing w:after="0"/>
            </w:pPr>
            <w:r>
              <w:rPr>
                <w:rFonts w:ascii="宋体" w:hAnsi="宋体" w:eastAsia="宋体" w:cs="宋体"/>
                <w:sz w:val="20"/>
                <w:szCs w:val="20"/>
              </w:rPr>
              <w:t>2001年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29D74D">
            <w:pPr>
              <w:spacing w:after="0"/>
            </w:pPr>
            <w:r>
              <w:rPr>
                <w:rFonts w:ascii="宋体" w:hAnsi="宋体" w:eastAsia="宋体" w:cs="宋体"/>
                <w:sz w:val="20"/>
                <w:szCs w:val="20"/>
              </w:rPr>
              <w:t>天龙屯堡景区正式对外开放</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31F340">
            <w:pPr>
              <w:spacing w:after="0"/>
            </w:pPr>
            <w:r>
              <w:rPr>
                <w:rFonts w:ascii="宋体" w:hAnsi="宋体" w:eastAsia="宋体" w:cs="宋体"/>
                <w:sz w:val="20"/>
                <w:szCs w:val="20"/>
              </w:rPr>
              <w:t>屯堡文化旅游元年</w:t>
            </w:r>
          </w:p>
        </w:tc>
      </w:tr>
      <w:tr w14:paraId="0D353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7F956B">
            <w:pPr>
              <w:spacing w:after="0"/>
            </w:pPr>
            <w:r>
              <w:rPr>
                <w:rFonts w:ascii="宋体" w:hAnsi="宋体" w:eastAsia="宋体" w:cs="宋体"/>
                <w:sz w:val="20"/>
                <w:szCs w:val="20"/>
              </w:rPr>
              <w:t>2001年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063342">
            <w:pPr>
              <w:spacing w:after="0"/>
            </w:pPr>
            <w:r>
              <w:rPr>
                <w:rFonts w:ascii="宋体" w:hAnsi="宋体" w:eastAsia="宋体" w:cs="宋体"/>
                <w:sz w:val="20"/>
                <w:szCs w:val="20"/>
              </w:rPr>
              <w:t>本寨古建筑群被列为全国重点文物保护单位</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09AC0C">
            <w:pPr>
              <w:spacing w:after="0"/>
            </w:pPr>
            <w:r>
              <w:rPr>
                <w:rFonts w:ascii="宋体" w:hAnsi="宋体" w:eastAsia="宋体" w:cs="宋体"/>
                <w:sz w:val="20"/>
                <w:szCs w:val="20"/>
              </w:rPr>
              <w:t>屯堡建筑获得最高级别保护</w:t>
            </w:r>
          </w:p>
        </w:tc>
      </w:tr>
      <w:tr w14:paraId="08883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CDC4F7">
            <w:pPr>
              <w:spacing w:after="0"/>
            </w:pPr>
            <w:r>
              <w:rPr>
                <w:rFonts w:ascii="宋体" w:hAnsi="宋体" w:eastAsia="宋体" w:cs="宋体"/>
                <w:sz w:val="20"/>
                <w:szCs w:val="20"/>
              </w:rPr>
              <w:t>2005年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7CAC1E">
            <w:pPr>
              <w:spacing w:after="0"/>
            </w:pPr>
            <w:r>
              <w:rPr>
                <w:rFonts w:ascii="宋体" w:hAnsi="宋体" w:eastAsia="宋体" w:cs="宋体"/>
                <w:sz w:val="20"/>
                <w:szCs w:val="20"/>
              </w:rPr>
              <w:t>云山屯被评为中国历史文化名村</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4DF6DC">
            <w:pPr>
              <w:spacing w:after="0"/>
            </w:pPr>
            <w:r>
              <w:rPr>
                <w:rFonts w:ascii="宋体" w:hAnsi="宋体" w:eastAsia="宋体" w:cs="宋体"/>
                <w:sz w:val="20"/>
                <w:szCs w:val="20"/>
              </w:rPr>
              <w:t>屯堡村寨获国家级荣誉</w:t>
            </w:r>
          </w:p>
        </w:tc>
      </w:tr>
      <w:tr w14:paraId="119D8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4ECFC1">
            <w:pPr>
              <w:spacing w:after="0"/>
            </w:pPr>
            <w:r>
              <w:rPr>
                <w:rFonts w:ascii="宋体" w:hAnsi="宋体" w:eastAsia="宋体" w:cs="宋体"/>
                <w:sz w:val="20"/>
                <w:szCs w:val="20"/>
              </w:rPr>
              <w:t>2006年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23731D">
            <w:pPr>
              <w:spacing w:after="0"/>
            </w:pPr>
            <w:r>
              <w:rPr>
                <w:rFonts w:ascii="宋体" w:hAnsi="宋体" w:eastAsia="宋体" w:cs="宋体"/>
                <w:sz w:val="20"/>
                <w:szCs w:val="20"/>
              </w:rPr>
              <w:t>安顺地戏列入首批国家级非物质文化遗产名录</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99D2E42">
            <w:pPr>
              <w:spacing w:after="0"/>
            </w:pPr>
            <w:r>
              <w:rPr>
                <w:rFonts w:ascii="宋体" w:hAnsi="宋体" w:eastAsia="宋体" w:cs="宋体"/>
                <w:sz w:val="20"/>
                <w:szCs w:val="20"/>
              </w:rPr>
              <w:t>地戏获得国家非遗认定</w:t>
            </w:r>
          </w:p>
        </w:tc>
      </w:tr>
      <w:tr w14:paraId="25175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081898">
            <w:pPr>
              <w:spacing w:after="0"/>
            </w:pPr>
            <w:r>
              <w:rPr>
                <w:rFonts w:ascii="宋体" w:hAnsi="宋体" w:eastAsia="宋体" w:cs="宋体"/>
                <w:sz w:val="20"/>
                <w:szCs w:val="20"/>
              </w:rPr>
              <w:t>2010年代</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05223A">
            <w:pPr>
              <w:spacing w:after="0"/>
            </w:pPr>
            <w:r>
              <w:rPr>
                <w:rFonts w:ascii="宋体" w:hAnsi="宋体" w:eastAsia="宋体" w:cs="宋体"/>
                <w:sz w:val="20"/>
                <w:szCs w:val="20"/>
              </w:rPr>
              <w:t>屯堡文化旅游快速发展</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B32863">
            <w:pPr>
              <w:spacing w:after="0"/>
            </w:pPr>
            <w:r>
              <w:rPr>
                <w:rFonts w:ascii="宋体" w:hAnsi="宋体" w:eastAsia="宋体" w:cs="宋体"/>
                <w:sz w:val="20"/>
                <w:szCs w:val="20"/>
              </w:rPr>
              <w:t>天龙屯堡年游客量突破100万人次</w:t>
            </w:r>
          </w:p>
        </w:tc>
      </w:tr>
      <w:tr w14:paraId="7DCD3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408B6F0">
            <w:pPr>
              <w:spacing w:after="0"/>
            </w:pPr>
            <w:r>
              <w:rPr>
                <w:rFonts w:ascii="宋体" w:hAnsi="宋体" w:eastAsia="宋体" w:cs="宋体"/>
                <w:sz w:val="20"/>
                <w:szCs w:val="20"/>
              </w:rPr>
              <w:t>2015年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1E5E39">
            <w:pPr>
              <w:spacing w:after="0"/>
            </w:pPr>
            <w:r>
              <w:rPr>
                <w:rFonts w:ascii="宋体" w:hAnsi="宋体" w:eastAsia="宋体" w:cs="宋体"/>
                <w:sz w:val="20"/>
                <w:szCs w:val="20"/>
              </w:rPr>
              <w:t>安顺市启动屯堡文化系统性保护规划</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EB22E45">
            <w:pPr>
              <w:spacing w:after="0"/>
            </w:pPr>
            <w:r>
              <w:rPr>
                <w:rFonts w:ascii="宋体" w:hAnsi="宋体" w:eastAsia="宋体" w:cs="宋体"/>
                <w:sz w:val="20"/>
                <w:szCs w:val="20"/>
              </w:rPr>
              <w:t>从"点状保护"走向"系统保护"</w:t>
            </w:r>
          </w:p>
        </w:tc>
      </w:tr>
      <w:tr w14:paraId="13809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AD2E0FF">
            <w:pPr>
              <w:spacing w:after="0"/>
            </w:pPr>
            <w:r>
              <w:rPr>
                <w:rFonts w:ascii="宋体" w:hAnsi="宋体" w:eastAsia="宋体" w:cs="宋体"/>
                <w:sz w:val="20"/>
                <w:szCs w:val="20"/>
              </w:rPr>
              <w:t>2018年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8DD0A8">
            <w:pPr>
              <w:spacing w:after="0"/>
            </w:pPr>
            <w:r>
              <w:rPr>
                <w:rFonts w:ascii="宋体" w:hAnsi="宋体" w:eastAsia="宋体" w:cs="宋体"/>
                <w:sz w:val="20"/>
                <w:szCs w:val="20"/>
              </w:rPr>
              <w:t>本寨否决旅游公司整体租赁方案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D7045D">
            <w:pPr>
              <w:spacing w:after="0"/>
            </w:pPr>
            <w:r>
              <w:rPr>
                <w:rFonts w:ascii="宋体" w:hAnsi="宋体" w:eastAsia="宋体" w:cs="宋体"/>
                <w:sz w:val="20"/>
                <w:szCs w:val="20"/>
              </w:rPr>
              <w:t>社区主导型保护模式的确立</w:t>
            </w:r>
          </w:p>
        </w:tc>
      </w:tr>
      <w:tr w14:paraId="3880B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0490E4">
            <w:pPr>
              <w:spacing w:after="0"/>
            </w:pPr>
            <w:r>
              <w:rPr>
                <w:rFonts w:ascii="宋体" w:hAnsi="宋体" w:eastAsia="宋体" w:cs="宋体"/>
                <w:sz w:val="20"/>
                <w:szCs w:val="20"/>
              </w:rPr>
              <w:t>2020年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345076">
            <w:pPr>
              <w:spacing w:after="0"/>
            </w:pPr>
            <w:r>
              <w:rPr>
                <w:rFonts w:ascii="宋体" w:hAnsi="宋体" w:eastAsia="宋体" w:cs="宋体"/>
                <w:sz w:val="20"/>
                <w:szCs w:val="20"/>
              </w:rPr>
              <w:t>新冠疫情冲击屯堡旅游</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FBEAD4">
            <w:pPr>
              <w:spacing w:after="0"/>
            </w:pPr>
            <w:r>
              <w:rPr>
                <w:rFonts w:ascii="宋体" w:hAnsi="宋体" w:eastAsia="宋体" w:cs="宋体"/>
                <w:sz w:val="20"/>
                <w:szCs w:val="20"/>
              </w:rPr>
              <w:t>旅游业短暂停摆，加速线上转型</w:t>
            </w:r>
          </w:p>
        </w:tc>
      </w:tr>
    </w:tbl>
    <w:p w14:paraId="68DDBF9C">
      <w:pPr>
        <w:pStyle w:val="3"/>
        <w:spacing w:before="300" w:after="200"/>
      </w:pPr>
      <w:bookmarkStart w:id="420" w:name="_Toc13131"/>
      <w:r>
        <w:rPr>
          <w:rFonts w:ascii="黑体" w:hAnsi="黑体" w:eastAsia="黑体" w:cs="黑体"/>
          <w:b/>
          <w:bCs/>
          <w:color w:val="000000"/>
          <w:sz w:val="28"/>
          <w:szCs w:val="28"/>
        </w:rPr>
        <w:t>G.6 2021-2023年：战略升级</w:t>
      </w:r>
      <w:bookmarkEnd w:id="42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718E2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FCA4AEC">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E84C761">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63A54A2">
            <w:pPr>
              <w:spacing w:after="0"/>
            </w:pPr>
            <w:r>
              <w:rPr>
                <w:rFonts w:ascii="宋体" w:hAnsi="宋体" w:eastAsia="宋体" w:cs="宋体"/>
                <w:b/>
                <w:bCs/>
                <w:color w:val="FFFFFF"/>
                <w:sz w:val="20"/>
                <w:szCs w:val="20"/>
              </w:rPr>
              <w:t>意义</w:t>
            </w:r>
          </w:p>
        </w:tc>
      </w:tr>
      <w:tr w14:paraId="686BD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A1F3A9F">
            <w:pPr>
              <w:spacing w:after="0"/>
            </w:pPr>
            <w:r>
              <w:rPr>
                <w:rFonts w:ascii="宋体" w:hAnsi="宋体" w:eastAsia="宋体" w:cs="宋体"/>
                <w:sz w:val="20"/>
                <w:szCs w:val="20"/>
              </w:rPr>
              <w:t>2021年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A4E919E">
            <w:pPr>
              <w:spacing w:after="0"/>
            </w:pPr>
            <w:r>
              <w:rPr>
                <w:rFonts w:ascii="宋体" w:hAnsi="宋体" w:eastAsia="宋体" w:cs="宋体"/>
                <w:sz w:val="20"/>
                <w:szCs w:val="20"/>
              </w:rPr>
              <w:t>安顺市提出"康养福地·瀑乡安顺"城市品牌</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1939CB">
            <w:pPr>
              <w:spacing w:after="0"/>
            </w:pPr>
            <w:r>
              <w:rPr>
                <w:rFonts w:ascii="宋体" w:hAnsi="宋体" w:eastAsia="宋体" w:cs="宋体"/>
                <w:sz w:val="20"/>
                <w:szCs w:val="20"/>
              </w:rPr>
              <w:t>屯堡纳入城市形象核心</w:t>
            </w:r>
          </w:p>
        </w:tc>
      </w:tr>
      <w:tr w14:paraId="4C85F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1592E5">
            <w:pPr>
              <w:spacing w:after="0"/>
            </w:pPr>
            <w:r>
              <w:rPr>
                <w:rFonts w:ascii="宋体" w:hAnsi="宋体" w:eastAsia="宋体" w:cs="宋体"/>
                <w:sz w:val="20"/>
                <w:szCs w:val="20"/>
              </w:rPr>
              <w:t>2022年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BFF2E2">
            <w:pPr>
              <w:spacing w:after="0"/>
            </w:pPr>
            <w:r>
              <w:rPr>
                <w:rFonts w:ascii="宋体" w:hAnsi="宋体" w:eastAsia="宋体" w:cs="宋体"/>
                <w:sz w:val="20"/>
                <w:szCs w:val="20"/>
              </w:rPr>
              <w:t>天龙屯堡启动"去商业化"整治</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1036C5">
            <w:pPr>
              <w:spacing w:after="0"/>
            </w:pPr>
            <w:r>
              <w:rPr>
                <w:rFonts w:ascii="宋体" w:hAnsi="宋体" w:eastAsia="宋体" w:cs="宋体"/>
                <w:sz w:val="20"/>
                <w:szCs w:val="20"/>
              </w:rPr>
              <w:t>旅游开发从"量的扩张"转向"质的提升"</w:t>
            </w:r>
          </w:p>
        </w:tc>
      </w:tr>
      <w:tr w14:paraId="7D839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2E0EA6">
            <w:pPr>
              <w:spacing w:after="0"/>
            </w:pPr>
            <w:r>
              <w:rPr>
                <w:rFonts w:ascii="宋体" w:hAnsi="宋体" w:eastAsia="宋体" w:cs="宋体"/>
                <w:sz w:val="20"/>
                <w:szCs w:val="20"/>
              </w:rPr>
              <w:t>2023年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6CFA790">
            <w:pPr>
              <w:spacing w:after="0"/>
            </w:pPr>
            <w:r>
              <w:rPr>
                <w:rFonts w:ascii="宋体" w:hAnsi="宋体" w:eastAsia="宋体" w:cs="宋体"/>
                <w:sz w:val="20"/>
                <w:szCs w:val="20"/>
              </w:rPr>
              <w:t>贵州省委提出"四大文化工程"</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EC7C53">
            <w:pPr>
              <w:spacing w:after="0"/>
            </w:pPr>
            <w:r>
              <w:rPr>
                <w:rFonts w:ascii="宋体" w:hAnsi="宋体" w:eastAsia="宋体" w:cs="宋体"/>
                <w:sz w:val="20"/>
                <w:szCs w:val="20"/>
              </w:rPr>
              <w:t>屯堡文化提升为省级文化战略</w:t>
            </w:r>
          </w:p>
        </w:tc>
      </w:tr>
      <w:tr w14:paraId="27109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1F1064">
            <w:pPr>
              <w:spacing w:after="0"/>
            </w:pPr>
            <w:r>
              <w:rPr>
                <w:rFonts w:ascii="宋体" w:hAnsi="宋体" w:eastAsia="宋体" w:cs="宋体"/>
                <w:sz w:val="20"/>
                <w:szCs w:val="20"/>
              </w:rPr>
              <w:t>2023年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570741">
            <w:pPr>
              <w:spacing w:after="0"/>
            </w:pPr>
            <w:r>
              <w:rPr>
                <w:rFonts w:ascii="宋体" w:hAnsi="宋体" w:eastAsia="宋体" w:cs="宋体"/>
                <w:sz w:val="20"/>
                <w:szCs w:val="20"/>
              </w:rPr>
              <w:t>屯堡文化研究推广工程启动</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17DCF8">
            <w:pPr>
              <w:spacing w:after="0"/>
            </w:pPr>
            <w:r>
              <w:rPr>
                <w:rFonts w:ascii="宋体" w:hAnsi="宋体" w:eastAsia="宋体" w:cs="宋体"/>
                <w:sz w:val="20"/>
                <w:szCs w:val="20"/>
              </w:rPr>
              <w:t>系统性学术研究和文化传播展开</w:t>
            </w:r>
          </w:p>
        </w:tc>
      </w:tr>
    </w:tbl>
    <w:p w14:paraId="49878CA0">
      <w:pPr>
        <w:pStyle w:val="3"/>
        <w:spacing w:before="300" w:after="200"/>
      </w:pPr>
      <w:bookmarkStart w:id="421" w:name="_Toc26518"/>
      <w:r>
        <w:rPr>
          <w:rFonts w:ascii="黑体" w:hAnsi="黑体" w:eastAsia="黑体" w:cs="黑体"/>
          <w:b/>
          <w:bCs/>
          <w:color w:val="000000"/>
          <w:sz w:val="28"/>
          <w:szCs w:val="28"/>
        </w:rPr>
        <w:t>G.7 2024-2026年：提质升级</w:t>
      </w:r>
      <w:bookmarkEnd w:id="421"/>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2FA89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9F88186">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F664370">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2B5BDC9">
            <w:pPr>
              <w:spacing w:after="0"/>
            </w:pPr>
            <w:r>
              <w:rPr>
                <w:rFonts w:ascii="宋体" w:hAnsi="宋体" w:eastAsia="宋体" w:cs="宋体"/>
                <w:b/>
                <w:bCs/>
                <w:color w:val="FFFFFF"/>
                <w:sz w:val="20"/>
                <w:szCs w:val="20"/>
              </w:rPr>
              <w:t>意义</w:t>
            </w:r>
          </w:p>
        </w:tc>
      </w:tr>
      <w:tr w14:paraId="10A1A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7E8FDED">
            <w:pPr>
              <w:spacing w:after="0"/>
            </w:pPr>
            <w:r>
              <w:rPr>
                <w:rFonts w:ascii="宋体" w:hAnsi="宋体" w:eastAsia="宋体" w:cs="宋体"/>
                <w:sz w:val="20"/>
                <w:szCs w:val="20"/>
              </w:rPr>
              <w:t>2024年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3F4B63">
            <w:pPr>
              <w:spacing w:after="0"/>
            </w:pPr>
            <w:r>
              <w:rPr>
                <w:rFonts w:ascii="宋体" w:hAnsi="宋体" w:eastAsia="宋体" w:cs="宋体"/>
                <w:sz w:val="20"/>
                <w:szCs w:val="20"/>
              </w:rPr>
              <w:t>鲍家屯古水利系统入选世界灌溉工程遗产中国候选名单</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1A09DB">
            <w:pPr>
              <w:spacing w:after="0"/>
            </w:pPr>
            <w:r>
              <w:rPr>
                <w:rFonts w:ascii="宋体" w:hAnsi="宋体" w:eastAsia="宋体" w:cs="宋体"/>
                <w:sz w:val="20"/>
                <w:szCs w:val="20"/>
              </w:rPr>
              <w:t>屯堡水利遗产获国际关注</w:t>
            </w:r>
          </w:p>
        </w:tc>
      </w:tr>
      <w:tr w14:paraId="3857C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1D83539">
            <w:pPr>
              <w:spacing w:after="0"/>
            </w:pPr>
            <w:r>
              <w:rPr>
                <w:rFonts w:ascii="宋体" w:hAnsi="宋体" w:eastAsia="宋体" w:cs="宋体"/>
                <w:sz w:val="20"/>
                <w:szCs w:val="20"/>
              </w:rPr>
              <w:t>2024年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BB4B74">
            <w:pPr>
              <w:spacing w:after="0"/>
            </w:pPr>
            <w:r>
              <w:rPr>
                <w:rFonts w:ascii="宋体" w:hAnsi="宋体" w:eastAsia="宋体" w:cs="宋体"/>
                <w:sz w:val="20"/>
                <w:szCs w:val="20"/>
              </w:rPr>
              <w:t>本寨杨家老宅完成全面数字化工程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260013">
            <w:pPr>
              <w:spacing w:after="0"/>
            </w:pPr>
            <w:r>
              <w:rPr>
                <w:rFonts w:ascii="宋体" w:hAnsi="宋体" w:eastAsia="宋体" w:cs="宋体"/>
                <w:sz w:val="20"/>
                <w:szCs w:val="20"/>
              </w:rPr>
              <w:t>屯堡建筑数字化保护示范</w:t>
            </w:r>
          </w:p>
        </w:tc>
      </w:tr>
      <w:tr w14:paraId="459DB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69B7771">
            <w:pPr>
              <w:spacing w:after="0"/>
            </w:pPr>
            <w:r>
              <w:rPr>
                <w:rFonts w:ascii="宋体" w:hAnsi="宋体" w:eastAsia="宋体" w:cs="宋体"/>
                <w:sz w:val="20"/>
                <w:szCs w:val="20"/>
              </w:rPr>
              <w:t>2025年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4BACCB">
            <w:pPr>
              <w:spacing w:after="0"/>
            </w:pPr>
            <w:r>
              <w:rPr>
                <w:rFonts w:ascii="宋体" w:hAnsi="宋体" w:eastAsia="宋体" w:cs="宋体"/>
                <w:sz w:val="20"/>
                <w:szCs w:val="20"/>
              </w:rPr>
              <w:t>云山屯数字孪生项目完成</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89AD12">
            <w:pPr>
              <w:spacing w:after="0"/>
            </w:pPr>
            <w:r>
              <w:rPr>
                <w:rFonts w:ascii="宋体" w:hAnsi="宋体" w:eastAsia="宋体" w:cs="宋体"/>
                <w:sz w:val="20"/>
                <w:szCs w:val="20"/>
              </w:rPr>
              <w:t>屯堡文化数字化进入新阶段</w:t>
            </w:r>
          </w:p>
        </w:tc>
      </w:tr>
      <w:tr w14:paraId="74F2E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44D156">
            <w:pPr>
              <w:spacing w:after="0"/>
            </w:pPr>
            <w:r>
              <w:rPr>
                <w:rFonts w:ascii="宋体" w:hAnsi="宋体" w:eastAsia="宋体" w:cs="宋体"/>
                <w:sz w:val="20"/>
                <w:szCs w:val="20"/>
              </w:rPr>
              <w:t>2025年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562E96">
            <w:pPr>
              <w:spacing w:after="0"/>
            </w:pPr>
            <w:r>
              <w:rPr>
                <w:rFonts w:ascii="宋体" w:hAnsi="宋体" w:eastAsia="宋体" w:cs="宋体"/>
                <w:sz w:val="20"/>
                <w:szCs w:val="20"/>
              </w:rPr>
              <w:t>安顺学院启动屯堡文化知识图谱建设</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560348">
            <w:pPr>
              <w:spacing w:after="0"/>
            </w:pPr>
            <w:r>
              <w:rPr>
                <w:rFonts w:ascii="宋体" w:hAnsi="宋体" w:eastAsia="宋体" w:cs="宋体"/>
                <w:sz w:val="20"/>
                <w:szCs w:val="20"/>
              </w:rPr>
              <w:t>学术研究与数字技术深度融合</w:t>
            </w:r>
          </w:p>
        </w:tc>
      </w:tr>
      <w:tr w14:paraId="1A5E3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9D1252">
            <w:pPr>
              <w:spacing w:after="0"/>
            </w:pPr>
            <w:r>
              <w:rPr>
                <w:rFonts w:ascii="宋体" w:hAnsi="宋体" w:eastAsia="宋体" w:cs="宋体"/>
                <w:sz w:val="20"/>
                <w:szCs w:val="20"/>
              </w:rPr>
              <w:t>2025年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4901B0">
            <w:pPr>
              <w:spacing w:after="0"/>
            </w:pPr>
            <w:r>
              <w:rPr>
                <w:rFonts w:ascii="宋体" w:hAnsi="宋体" w:eastAsia="宋体" w:cs="宋体"/>
                <w:sz w:val="20"/>
                <w:szCs w:val="20"/>
              </w:rPr>
              <w:t>贵州大学"黔影新生"团队推出AI地戏文创</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11074C">
            <w:pPr>
              <w:spacing w:after="0"/>
            </w:pPr>
            <w:r>
              <w:rPr>
                <w:rFonts w:ascii="宋体" w:hAnsi="宋体" w:eastAsia="宋体" w:cs="宋体"/>
                <w:sz w:val="20"/>
                <w:szCs w:val="20"/>
              </w:rPr>
              <w:t>AI赋能传统文化创造性转化</w:t>
            </w:r>
          </w:p>
        </w:tc>
      </w:tr>
      <w:tr w14:paraId="3B3E1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8E6B88">
            <w:pPr>
              <w:spacing w:after="0"/>
            </w:pPr>
            <w:r>
              <w:rPr>
                <w:rFonts w:ascii="宋体" w:hAnsi="宋体" w:eastAsia="宋体" w:cs="宋体"/>
                <w:sz w:val="20"/>
                <w:szCs w:val="20"/>
              </w:rPr>
              <w:t>2026年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CA6BD7">
            <w:pPr>
              <w:spacing w:after="0"/>
            </w:pPr>
            <w:r>
              <w:rPr>
                <w:rFonts w:ascii="宋体" w:hAnsi="宋体" w:eastAsia="宋体" w:cs="宋体"/>
                <w:sz w:val="20"/>
                <w:szCs w:val="20"/>
              </w:rPr>
              <w:t>第二十届贵州旅游产业发展大会突出"屯堡旅居"</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A194D6">
            <w:pPr>
              <w:spacing w:after="0"/>
            </w:pPr>
            <w:r>
              <w:rPr>
                <w:rFonts w:ascii="宋体" w:hAnsi="宋体" w:eastAsia="宋体" w:cs="宋体"/>
                <w:sz w:val="20"/>
                <w:szCs w:val="20"/>
              </w:rPr>
              <w:t>屯堡成为贵州"旅居名片"</w:t>
            </w:r>
          </w:p>
        </w:tc>
      </w:tr>
      <w:tr w14:paraId="27F8B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CC57D6">
            <w:pPr>
              <w:spacing w:after="0"/>
            </w:pPr>
            <w:r>
              <w:rPr>
                <w:rFonts w:ascii="宋体" w:hAnsi="宋体" w:eastAsia="宋体" w:cs="宋体"/>
                <w:sz w:val="20"/>
                <w:szCs w:val="20"/>
              </w:rPr>
              <w:t>2026年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7A3D9EF">
            <w:pPr>
              <w:spacing w:after="0"/>
            </w:pPr>
            <w:r>
              <w:rPr>
                <w:rFonts w:ascii="宋体" w:hAnsi="宋体" w:eastAsia="宋体" w:cs="宋体"/>
                <w:sz w:val="20"/>
                <w:szCs w:val="20"/>
              </w:rPr>
              <w:t>中国移动在屯堡区域部署5G网络</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504611">
            <w:pPr>
              <w:spacing w:after="0"/>
            </w:pPr>
            <w:r>
              <w:rPr>
                <w:rFonts w:ascii="宋体" w:hAnsi="宋体" w:eastAsia="宋体" w:cs="宋体"/>
                <w:sz w:val="20"/>
                <w:szCs w:val="20"/>
              </w:rPr>
              <w:t>数字文旅基础设施升级</w:t>
            </w:r>
          </w:p>
        </w:tc>
      </w:tr>
      <w:tr w14:paraId="5953C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76A071">
            <w:pPr>
              <w:spacing w:after="0"/>
            </w:pPr>
            <w:r>
              <w:rPr>
                <w:rFonts w:ascii="宋体" w:hAnsi="宋体" w:eastAsia="宋体" w:cs="宋体"/>
                <w:sz w:val="20"/>
                <w:szCs w:val="20"/>
              </w:rPr>
              <w:t>2026年5月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6AEA68">
            <w:pPr>
              <w:spacing w:after="0"/>
            </w:pPr>
            <w:r>
              <w:rPr>
                <w:rFonts w:ascii="宋体" w:hAnsi="宋体" w:eastAsia="宋体" w:cs="宋体"/>
                <w:sz w:val="20"/>
                <w:szCs w:val="20"/>
              </w:rPr>
              <w:t>贵大学子以AI激活地戏新表达</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4BB43F">
            <w:pPr>
              <w:spacing w:after="0"/>
            </w:pPr>
            <w:r>
              <w:rPr>
                <w:rFonts w:ascii="宋体" w:hAnsi="宋体" w:eastAsia="宋体" w:cs="宋体"/>
                <w:sz w:val="20"/>
                <w:szCs w:val="20"/>
              </w:rPr>
              <w:t>AI文创产品在黄果树景区热销</w:t>
            </w:r>
          </w:p>
        </w:tc>
      </w:tr>
      <w:tr w14:paraId="6CDEA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8C2579">
            <w:pPr>
              <w:spacing w:after="0"/>
            </w:pPr>
            <w:r>
              <w:rPr>
                <w:rFonts w:ascii="宋体" w:hAnsi="宋体" w:eastAsia="宋体" w:cs="宋体"/>
                <w:sz w:val="20"/>
                <w:szCs w:val="20"/>
              </w:rPr>
              <w:t>2026年6月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604B4A5">
            <w:pPr>
              <w:spacing w:after="0"/>
            </w:pPr>
            <w:r>
              <w:rPr>
                <w:rFonts w:ascii="宋体" w:hAnsi="宋体" w:eastAsia="宋体" w:cs="宋体"/>
                <w:sz w:val="20"/>
                <w:szCs w:val="20"/>
              </w:rPr>
              <w:t>贵州省人大会议建议创建屯堡文化国家文物保护利用示范区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3E3E05">
            <w:pPr>
              <w:spacing w:after="0"/>
            </w:pPr>
            <w:r>
              <w:rPr>
                <w:rFonts w:ascii="宋体" w:hAnsi="宋体" w:eastAsia="宋体" w:cs="宋体"/>
                <w:sz w:val="20"/>
                <w:szCs w:val="20"/>
              </w:rPr>
              <w:t>保护力度迈向国家级</w:t>
            </w:r>
          </w:p>
        </w:tc>
      </w:tr>
      <w:tr w14:paraId="32BAB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269EA8">
            <w:pPr>
              <w:spacing w:after="0"/>
            </w:pPr>
            <w:r>
              <w:rPr>
                <w:rFonts w:ascii="宋体" w:hAnsi="宋体" w:eastAsia="宋体" w:cs="宋体"/>
                <w:sz w:val="20"/>
                <w:szCs w:val="20"/>
              </w:rPr>
              <w:t>2026年6月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14BD99C">
            <w:pPr>
              <w:spacing w:after="0"/>
            </w:pPr>
            <w:r>
              <w:rPr>
                <w:rFonts w:ascii="宋体" w:hAnsi="宋体" w:eastAsia="宋体" w:cs="宋体"/>
                <w:sz w:val="20"/>
                <w:szCs w:val="20"/>
              </w:rPr>
              <w:t>安顺市提出"固态保护+活态传承+业态融合"方案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BA7E4F">
            <w:pPr>
              <w:spacing w:after="0"/>
            </w:pPr>
            <w:r>
              <w:rPr>
                <w:rFonts w:ascii="宋体" w:hAnsi="宋体" w:eastAsia="宋体" w:cs="宋体"/>
                <w:sz w:val="20"/>
                <w:szCs w:val="20"/>
              </w:rPr>
              <w:t>保护模式系统化</w:t>
            </w:r>
          </w:p>
        </w:tc>
      </w:tr>
    </w:tbl>
    <w:p w14:paraId="72D6B238">
      <w:pPr>
        <w:pStyle w:val="3"/>
        <w:spacing w:before="300" w:after="200"/>
      </w:pPr>
      <w:bookmarkStart w:id="422" w:name="_Toc4547"/>
      <w:r>
        <w:rPr>
          <w:rFonts w:ascii="黑体" w:hAnsi="黑体" w:eastAsia="黑体" w:cs="黑体"/>
          <w:b/>
          <w:bCs/>
          <w:color w:val="000000"/>
          <w:sz w:val="28"/>
          <w:szCs w:val="28"/>
        </w:rPr>
        <w:t>G.8 关键数据</w:t>
      </w:r>
      <w:bookmarkEnd w:id="42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314CA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ADE9A65">
            <w:pPr>
              <w:spacing w:after="0"/>
            </w:pPr>
            <w:r>
              <w:rPr>
                <w:rFonts w:ascii="宋体" w:hAnsi="宋体" w:eastAsia="宋体" w:cs="宋体"/>
                <w:b/>
                <w:bCs/>
                <w:color w:val="FFFFFF"/>
                <w:sz w:val="20"/>
                <w:szCs w:val="20"/>
              </w:rPr>
              <w:t>指标</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EFFA0D6">
            <w:pPr>
              <w:spacing w:after="0"/>
            </w:pPr>
            <w:r>
              <w:rPr>
                <w:rFonts w:ascii="宋体" w:hAnsi="宋体" w:eastAsia="宋体" w:cs="宋体"/>
                <w:b/>
                <w:bCs/>
                <w:color w:val="FFFFFF"/>
                <w:sz w:val="20"/>
                <w:szCs w:val="20"/>
              </w:rPr>
              <w:t>2001年</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2685085">
            <w:pPr>
              <w:spacing w:after="0"/>
            </w:pPr>
            <w:r>
              <w:rPr>
                <w:rFonts w:ascii="宋体" w:hAnsi="宋体" w:eastAsia="宋体" w:cs="宋体"/>
                <w:b/>
                <w:bCs/>
                <w:color w:val="FFFFFF"/>
                <w:sz w:val="20"/>
                <w:szCs w:val="20"/>
              </w:rPr>
              <w:t>2010年</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D18110B">
            <w:pPr>
              <w:spacing w:after="0"/>
            </w:pPr>
            <w:r>
              <w:rPr>
                <w:rFonts w:ascii="宋体" w:hAnsi="宋体" w:eastAsia="宋体" w:cs="宋体"/>
                <w:b/>
                <w:bCs/>
                <w:color w:val="FFFFFF"/>
                <w:sz w:val="20"/>
                <w:szCs w:val="20"/>
              </w:rPr>
              <w:t>2020年</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4101531">
            <w:pPr>
              <w:spacing w:after="0"/>
            </w:pPr>
            <w:r>
              <w:rPr>
                <w:rFonts w:ascii="宋体" w:hAnsi="宋体" w:eastAsia="宋体" w:cs="宋体"/>
                <w:b/>
                <w:bCs/>
                <w:color w:val="FFFFFF"/>
                <w:sz w:val="20"/>
                <w:szCs w:val="20"/>
              </w:rPr>
              <w:t>2026年（预估）</w:t>
            </w:r>
          </w:p>
        </w:tc>
      </w:tr>
      <w:tr w14:paraId="48F3F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E69CA7">
            <w:pPr>
              <w:spacing w:after="0"/>
            </w:pPr>
            <w:r>
              <w:rPr>
                <w:rFonts w:ascii="宋体" w:hAnsi="宋体" w:eastAsia="宋体" w:cs="宋体"/>
                <w:sz w:val="20"/>
                <w:szCs w:val="20"/>
              </w:rPr>
              <w:t>屯堡旅游年游客量</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086966">
            <w:pPr>
              <w:spacing w:after="0"/>
            </w:pPr>
            <w:r>
              <w:rPr>
                <w:rFonts w:ascii="宋体" w:hAnsi="宋体" w:eastAsia="宋体" w:cs="宋体"/>
                <w:sz w:val="20"/>
                <w:szCs w:val="20"/>
              </w:rPr>
              <w:t>约5万人次</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ABCBB1">
            <w:pPr>
              <w:spacing w:after="0"/>
            </w:pPr>
            <w:r>
              <w:rPr>
                <w:rFonts w:ascii="宋体" w:hAnsi="宋体" w:eastAsia="宋体" w:cs="宋体"/>
                <w:sz w:val="20"/>
                <w:szCs w:val="20"/>
              </w:rPr>
              <w:t>约80万人次</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42261F">
            <w:pPr>
              <w:spacing w:after="0"/>
            </w:pPr>
            <w:r>
              <w:rPr>
                <w:rFonts w:ascii="宋体" w:hAnsi="宋体" w:eastAsia="宋体" w:cs="宋体"/>
                <w:sz w:val="20"/>
                <w:szCs w:val="20"/>
              </w:rPr>
              <w:t>约150万人次</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E56B15">
            <w:pPr>
              <w:spacing w:after="0"/>
            </w:pPr>
            <w:r>
              <w:rPr>
                <w:rFonts w:ascii="宋体" w:hAnsi="宋体" w:eastAsia="宋体" w:cs="宋体"/>
                <w:sz w:val="20"/>
                <w:szCs w:val="20"/>
              </w:rPr>
              <w:t>约300万人次</w:t>
            </w:r>
          </w:p>
        </w:tc>
      </w:tr>
      <w:tr w14:paraId="33E08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B691455">
            <w:pPr>
              <w:spacing w:after="0"/>
            </w:pPr>
            <w:r>
              <w:rPr>
                <w:rFonts w:ascii="宋体" w:hAnsi="宋体" w:eastAsia="宋体" w:cs="宋体"/>
                <w:sz w:val="20"/>
                <w:szCs w:val="20"/>
              </w:rPr>
              <w:t>国家级非遗项目</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84FBE7">
            <w:pPr>
              <w:spacing w:after="0"/>
            </w:pPr>
            <w:r>
              <w:rPr>
                <w:rFonts w:ascii="宋体" w:hAnsi="宋体" w:eastAsia="宋体" w:cs="宋体"/>
                <w:sz w:val="20"/>
                <w:szCs w:val="20"/>
              </w:rPr>
              <w:t>0</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3EE662">
            <w:pPr>
              <w:spacing w:after="0"/>
            </w:pPr>
            <w:r>
              <w:rPr>
                <w:rFonts w:ascii="宋体" w:hAnsi="宋体" w:eastAsia="宋体" w:cs="宋体"/>
                <w:sz w:val="20"/>
                <w:szCs w:val="20"/>
              </w:rPr>
              <w:t>1</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EF7A19">
            <w:pPr>
              <w:spacing w:after="0"/>
            </w:pPr>
            <w:r>
              <w:rPr>
                <w:rFonts w:ascii="宋体" w:hAnsi="宋体" w:eastAsia="宋体" w:cs="宋体"/>
                <w:sz w:val="20"/>
                <w:szCs w:val="20"/>
              </w:rPr>
              <w:t>1</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16FECF">
            <w:pPr>
              <w:spacing w:after="0"/>
            </w:pPr>
            <w:r>
              <w:rPr>
                <w:rFonts w:ascii="宋体" w:hAnsi="宋体" w:eastAsia="宋体" w:cs="宋体"/>
                <w:sz w:val="20"/>
                <w:szCs w:val="20"/>
              </w:rPr>
              <w:t>2（地戏+申报中）</w:t>
            </w:r>
          </w:p>
        </w:tc>
      </w:tr>
      <w:tr w14:paraId="65598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24D476">
            <w:pPr>
              <w:spacing w:after="0"/>
            </w:pPr>
            <w:r>
              <w:rPr>
                <w:rFonts w:ascii="宋体" w:hAnsi="宋体" w:eastAsia="宋体" w:cs="宋体"/>
                <w:sz w:val="20"/>
                <w:szCs w:val="20"/>
              </w:rPr>
              <w:t>国保单位</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C00F10">
            <w:pPr>
              <w:spacing w:after="0"/>
            </w:pPr>
            <w:r>
              <w:rPr>
                <w:rFonts w:ascii="宋体" w:hAnsi="宋体" w:eastAsia="宋体" w:cs="宋体"/>
                <w:sz w:val="20"/>
                <w:szCs w:val="20"/>
              </w:rPr>
              <w:t>1</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893109">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DBBD3B">
            <w:pPr>
              <w:spacing w:after="0"/>
            </w:pPr>
            <w:r>
              <w:rPr>
                <w:rFonts w:ascii="宋体" w:hAnsi="宋体" w:eastAsia="宋体" w:cs="宋体"/>
                <w:sz w:val="20"/>
                <w:szCs w:val="20"/>
              </w:rPr>
              <w:t>3</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FFD5E7">
            <w:pPr>
              <w:spacing w:after="0"/>
            </w:pPr>
            <w:r>
              <w:rPr>
                <w:rFonts w:ascii="宋体" w:hAnsi="宋体" w:eastAsia="宋体" w:cs="宋体"/>
                <w:sz w:val="20"/>
                <w:szCs w:val="20"/>
              </w:rPr>
              <w:t>5（含新增）</w:t>
            </w:r>
          </w:p>
        </w:tc>
      </w:tr>
      <w:tr w14:paraId="142E8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EE2816">
            <w:pPr>
              <w:spacing w:after="0"/>
            </w:pPr>
            <w:r>
              <w:rPr>
                <w:rFonts w:ascii="宋体" w:hAnsi="宋体" w:eastAsia="宋体" w:cs="宋体"/>
                <w:sz w:val="20"/>
                <w:szCs w:val="20"/>
              </w:rPr>
              <w:t>传承人数量</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975F9BB">
            <w:pPr>
              <w:spacing w:after="0"/>
            </w:pPr>
            <w:r>
              <w:rPr>
                <w:rFonts w:ascii="宋体" w:hAnsi="宋体" w:eastAsia="宋体" w:cs="宋体"/>
                <w:sz w:val="20"/>
                <w:szCs w:val="20"/>
              </w:rPr>
              <w:t>无统计</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D07BB9">
            <w:pPr>
              <w:spacing w:after="0"/>
            </w:pPr>
            <w:r>
              <w:rPr>
                <w:rFonts w:ascii="宋体" w:hAnsi="宋体" w:eastAsia="宋体" w:cs="宋体"/>
                <w:sz w:val="20"/>
                <w:szCs w:val="20"/>
              </w:rPr>
              <w:t>约20人</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8369053">
            <w:pPr>
              <w:spacing w:after="0"/>
            </w:pPr>
            <w:r>
              <w:rPr>
                <w:rFonts w:ascii="宋体" w:hAnsi="宋体" w:eastAsia="宋体" w:cs="宋体"/>
                <w:sz w:val="20"/>
                <w:szCs w:val="20"/>
              </w:rPr>
              <w:t>约50人</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4203D6">
            <w:pPr>
              <w:spacing w:after="0"/>
            </w:pPr>
            <w:r>
              <w:rPr>
                <w:rFonts w:ascii="宋体" w:hAnsi="宋体" w:eastAsia="宋体" w:cs="宋体"/>
                <w:sz w:val="20"/>
                <w:szCs w:val="20"/>
              </w:rPr>
              <w:t>约80人</w:t>
            </w:r>
          </w:p>
        </w:tc>
      </w:tr>
      <w:tr w14:paraId="44C85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C19860">
            <w:pPr>
              <w:spacing w:after="0"/>
            </w:pPr>
            <w:r>
              <w:rPr>
                <w:rFonts w:ascii="宋体" w:hAnsi="宋体" w:eastAsia="宋体" w:cs="宋体"/>
                <w:sz w:val="20"/>
                <w:szCs w:val="20"/>
              </w:rPr>
              <w:t>数字化项目投入</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05CD9D">
            <w:pPr>
              <w:spacing w:after="0"/>
            </w:pPr>
            <w:r>
              <w:rPr>
                <w:rFonts w:ascii="宋体" w:hAnsi="宋体" w:eastAsia="宋体" w:cs="宋体"/>
                <w:sz w:val="20"/>
                <w:szCs w:val="20"/>
              </w:rPr>
              <w:t>0</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DB8880">
            <w:pPr>
              <w:spacing w:after="0"/>
            </w:pPr>
            <w:r>
              <w:rPr>
                <w:rFonts w:ascii="宋体" w:hAnsi="宋体" w:eastAsia="宋体" w:cs="宋体"/>
                <w:sz w:val="20"/>
                <w:szCs w:val="20"/>
              </w:rPr>
              <w:t>0</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F548C7">
            <w:pPr>
              <w:spacing w:after="0"/>
            </w:pPr>
            <w:r>
              <w:rPr>
                <w:rFonts w:ascii="宋体" w:hAnsi="宋体" w:eastAsia="宋体" w:cs="宋体"/>
                <w:sz w:val="20"/>
                <w:szCs w:val="20"/>
              </w:rPr>
              <w:t>约50万元</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E7E312">
            <w:pPr>
              <w:spacing w:after="0"/>
            </w:pPr>
            <w:r>
              <w:rPr>
                <w:rFonts w:ascii="宋体" w:hAnsi="宋体" w:eastAsia="宋体" w:cs="宋体"/>
                <w:sz w:val="20"/>
                <w:szCs w:val="20"/>
              </w:rPr>
              <w:t>约500万元</w:t>
            </w:r>
          </w:p>
        </w:tc>
      </w:tr>
      <w:tr w14:paraId="746C1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B80382">
            <w:pPr>
              <w:spacing w:after="0"/>
            </w:pPr>
            <w:r>
              <w:rPr>
                <w:rFonts w:ascii="宋体" w:hAnsi="宋体" w:eastAsia="宋体" w:cs="宋体"/>
                <w:sz w:val="20"/>
                <w:szCs w:val="20"/>
              </w:rPr>
              <w:t>相关学术论文</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398447D">
            <w:pPr>
              <w:spacing w:after="0"/>
            </w:pPr>
            <w:r>
              <w:rPr>
                <w:rFonts w:ascii="宋体" w:hAnsi="宋体" w:eastAsia="宋体" w:cs="宋体"/>
                <w:sz w:val="20"/>
                <w:szCs w:val="20"/>
              </w:rPr>
              <w:t>约50篇</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771F12">
            <w:pPr>
              <w:spacing w:after="0"/>
            </w:pPr>
            <w:r>
              <w:rPr>
                <w:rFonts w:ascii="宋体" w:hAnsi="宋体" w:eastAsia="宋体" w:cs="宋体"/>
                <w:sz w:val="20"/>
                <w:szCs w:val="20"/>
              </w:rPr>
              <w:t>约200篇</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96460E">
            <w:pPr>
              <w:spacing w:after="0"/>
            </w:pPr>
            <w:r>
              <w:rPr>
                <w:rFonts w:ascii="宋体" w:hAnsi="宋体" w:eastAsia="宋体" w:cs="宋体"/>
                <w:sz w:val="20"/>
                <w:szCs w:val="20"/>
              </w:rPr>
              <w:t>约500篇</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A46649">
            <w:pPr>
              <w:spacing w:after="0"/>
            </w:pPr>
            <w:r>
              <w:rPr>
                <w:rFonts w:ascii="宋体" w:hAnsi="宋体" w:eastAsia="宋体" w:cs="宋体"/>
                <w:sz w:val="20"/>
                <w:szCs w:val="20"/>
              </w:rPr>
              <w:t>约800篇</w:t>
            </w:r>
          </w:p>
        </w:tc>
      </w:tr>
    </w:tbl>
    <w:p w14:paraId="468D8708">
      <w:pPr>
        <w:pStyle w:val="3"/>
        <w:spacing w:before="300" w:after="200"/>
      </w:pPr>
      <w:bookmarkStart w:id="423" w:name="_Toc28869"/>
      <w:r>
        <w:rPr>
          <w:rFonts w:ascii="黑体" w:hAnsi="黑体" w:eastAsia="黑体" w:cs="黑体"/>
          <w:b/>
          <w:bCs/>
          <w:color w:val="000000"/>
          <w:sz w:val="28"/>
          <w:szCs w:val="28"/>
        </w:rPr>
        <w:t>G.9 大事记解读要点</w:t>
      </w:r>
      <w:bookmarkEnd w:id="423"/>
    </w:p>
    <w:p w14:paraId="376F3A9A">
      <w:pPr>
        <w:spacing w:after="120" w:line="360" w:lineRule="auto"/>
        <w:jc w:val="both"/>
      </w:pPr>
      <w:r>
        <w:rPr>
          <w:rFonts w:ascii="宋体" w:hAnsi="宋体" w:eastAsia="宋体" w:cs="宋体"/>
          <w:b/>
          <w:bCs/>
          <w:sz w:val="24"/>
          <w:szCs w:val="24"/>
        </w:rPr>
        <w:t>从军事遗产到文化遗产。</w:t>
      </w:r>
      <w:r>
        <w:rPr>
          <w:rFonts w:ascii="宋体" w:hAnsi="宋体" w:eastAsia="宋体" w:cs="宋体"/>
          <w:sz w:val="24"/>
          <w:szCs w:val="24"/>
        </w:rPr>
        <w:t xml:space="preserve"> 六百年间，屯堡完成了从"军事防御设施"到"农耕聚落"再到"文化遗产"的身份转变。这一转变既是屯堡文化自我演化的结果，也是社会认知不断深化的过程。</w:t>
      </w:r>
    </w:p>
    <w:p w14:paraId="2A9D0B62">
      <w:pPr>
        <w:spacing w:after="120" w:line="360" w:lineRule="auto"/>
        <w:jc w:val="both"/>
      </w:pPr>
      <w:r>
        <w:rPr>
          <w:rFonts w:ascii="宋体" w:hAnsi="宋体" w:eastAsia="宋体" w:cs="宋体"/>
          <w:b/>
          <w:bCs/>
          <w:sz w:val="24"/>
          <w:szCs w:val="24"/>
        </w:rPr>
        <w:t>从边缘到中心。</w:t>
      </w:r>
      <w:r>
        <w:rPr>
          <w:rFonts w:ascii="宋体" w:hAnsi="宋体" w:eastAsia="宋体" w:cs="宋体"/>
          <w:sz w:val="24"/>
          <w:szCs w:val="24"/>
        </w:rPr>
        <w:t xml:space="preserve"> 屯堡文化从学术边缘话题逐步走向文化战略中心——从个别学者的关注，到贵州"四大文化工程"的核心组成。这一过程反映了文化价值认知的深化和国家文化战略的调整。</w:t>
      </w:r>
    </w:p>
    <w:p w14:paraId="1950C5F1">
      <w:pPr>
        <w:spacing w:after="120" w:line="360" w:lineRule="auto"/>
        <w:jc w:val="both"/>
      </w:pPr>
      <w:r>
        <w:rPr>
          <w:rFonts w:ascii="宋体" w:hAnsi="宋体" w:eastAsia="宋体" w:cs="宋体"/>
          <w:b/>
          <w:bCs/>
          <w:sz w:val="24"/>
          <w:szCs w:val="24"/>
        </w:rPr>
        <w:t>从保护到活化。</w:t>
      </w:r>
      <w:r>
        <w:rPr>
          <w:rFonts w:ascii="宋体" w:hAnsi="宋体" w:eastAsia="宋体" w:cs="宋体"/>
          <w:sz w:val="24"/>
          <w:szCs w:val="24"/>
        </w:rPr>
        <w:t xml:space="preserve"> 21世纪以来，屯堡文化政策从"静态保护"走向"活态利用"，从"政府主导"走向"多元参与"，从"文化事业"走向"文旅融合"。这一转变体现了文化遗产管理理念的进步。</w:t>
      </w:r>
    </w:p>
    <w:p w14:paraId="0CA5AC76">
      <w:pPr>
        <w:spacing w:after="120" w:line="360" w:lineRule="auto"/>
        <w:jc w:val="both"/>
      </w:pPr>
      <w:r>
        <w:rPr>
          <w:rFonts w:ascii="宋体" w:hAnsi="宋体" w:eastAsia="宋体" w:cs="宋体"/>
          <w:b/>
          <w:bCs/>
          <w:sz w:val="24"/>
          <w:szCs w:val="24"/>
        </w:rPr>
        <w:t>数字化浪潮。</w:t>
      </w:r>
      <w:r>
        <w:rPr>
          <w:rFonts w:ascii="宋体" w:hAnsi="宋体" w:eastAsia="宋体" w:cs="宋体"/>
          <w:sz w:val="24"/>
          <w:szCs w:val="24"/>
        </w:rPr>
        <w:t xml:space="preserve"> 2020年代以来，数字化成为屯堡文化保护与活化的新引擎。从三维扫描到数字孪生，从知识图谱到AI文创，技术正在重塑屯堡文化的保护方式和表达形态。</w:t>
      </w:r>
      <w:bookmarkStart w:id="424" w:name="_GoBack"/>
      <w:bookmarkEnd w:id="424"/>
    </w:p>
    <w:sectPr>
      <w:headerReference r:id="rId3" w:type="default"/>
      <w:footerReference r:id="rId4"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644AD">
    <w:pPr>
      <w:pBdr>
        <w:top w:val="single" w:color="CCCCCC" w:sz="2" w:space="4"/>
      </w:pBdr>
      <w:jc w:val="center"/>
    </w:pPr>
    <w:r>
      <w:rPr>
        <w:rFonts w:ascii="宋体" w:hAnsi="宋体" w:eastAsia="宋体" w:cs="宋体"/>
        <w:color w:val="999999"/>
        <w:sz w:val="20"/>
        <w:szCs w:val="20"/>
      </w:rPr>
      <w:t xml:space="preserve">— </w:t>
    </w:r>
    <w:r>
      <w:rPr>
        <w:rFonts w:ascii="宋体" w:hAnsi="宋体" w:eastAsia="宋体" w:cs="宋体"/>
        <w:color w:val="999999"/>
        <w:sz w:val="20"/>
        <w:szCs w:val="20"/>
      </w:rPr>
      <w:fldChar w:fldCharType="begin"/>
    </w:r>
    <w:r>
      <w:rPr>
        <w:rFonts w:ascii="宋体" w:hAnsi="宋体" w:eastAsia="宋体" w:cs="宋体"/>
        <w:color w:val="999999"/>
        <w:sz w:val="20"/>
        <w:szCs w:val="20"/>
      </w:rPr>
      <w:instrText xml:space="preserve">PAGE</w:instrText>
    </w:r>
    <w:r>
      <w:rPr>
        <w:rFonts w:ascii="宋体" w:hAnsi="宋体" w:eastAsia="宋体" w:cs="宋体"/>
        <w:color w:val="999999"/>
        <w:sz w:val="20"/>
        <w:szCs w:val="20"/>
      </w:rPr>
      <w:fldChar w:fldCharType="separate"/>
    </w:r>
    <w:r>
      <w:rPr>
        <w:rFonts w:ascii="宋体" w:hAnsi="宋体" w:eastAsia="宋体" w:cs="宋体"/>
        <w:color w:val="999999"/>
        <w:sz w:val="20"/>
        <w:szCs w:val="20"/>
      </w:rPr>
      <w:fldChar w:fldCharType="end"/>
    </w:r>
    <w:r>
      <w:rPr>
        <w:rFonts w:ascii="宋体" w:hAnsi="宋体" w:eastAsia="宋体" w:cs="宋体"/>
        <w:color w:val="999999"/>
        <w:sz w:val="20"/>
        <w:szCs w:val="20"/>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8A033">
    <w:pPr>
      <w:pBdr>
        <w:bottom w:val="single" w:color="CCCCCC" w:sz="2" w:space="4"/>
      </w:pBdr>
      <w:jc w:val="center"/>
    </w:pPr>
    <w:r>
      <w:rPr>
        <w:rFonts w:ascii="宋体" w:hAnsi="宋体" w:eastAsia="宋体" w:cs="宋体"/>
        <w:color w:val="999999"/>
        <w:sz w:val="20"/>
        <w:szCs w:val="20"/>
      </w:rPr>
      <w:t>屯堡文化数字化传承与旅游活化</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939416"/>
    <w:multiLevelType w:val="singleLevel"/>
    <w:tmpl w:val="89939416"/>
    <w:lvl w:ilvl="0" w:tentative="0">
      <w:start w:val="1"/>
      <w:numFmt w:val="bullet"/>
      <w:lvlText w:val="•"/>
      <w:lvlJc w:val="left"/>
      <w:pPr>
        <w:ind w:left="720" w:hanging="360"/>
      </w:pPr>
    </w:lvl>
  </w:abstractNum>
  <w:abstractNum w:abstractNumId="1">
    <w:nsid w:val="B675F652"/>
    <w:multiLevelType w:val="singleLevel"/>
    <w:tmpl w:val="B675F652"/>
    <w:lvl w:ilvl="0" w:tentative="0">
      <w:start w:val="1"/>
      <w:numFmt w:val="decimal"/>
      <w:lvlText w:val="%1."/>
      <w:lvlJc w:val="left"/>
      <w:pPr>
        <w:ind w:left="720" w:hanging="360"/>
      </w:pPr>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displayBackgroundShape w:val="1"/>
  <w:documentProtection w:enforcement="0"/>
  <w:compat>
    <w:useFELayout/>
    <w:compatSetting w:name="compatibilityMode" w:uri="http://schemas.microsoft.com/office/word" w:val="15"/>
  </w:compat>
  <w:rsids>
    <w:rsidRoot w:val="00000000"/>
    <w:rsid w:val="12C64289"/>
    <w:rsid w:val="5B7A6687"/>
    <w:rsid w:val="79E6259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sz w:val="24"/>
      <w:szCs w:val="24"/>
    </w:rPr>
  </w:style>
  <w:style w:type="paragraph" w:styleId="2">
    <w:name w:val="heading 1"/>
    <w:next w:val="1"/>
    <w:qFormat/>
    <w:uiPriority w:val="0"/>
    <w:pPr>
      <w:spacing w:before="400" w:after="200" w:line="360" w:lineRule="auto"/>
      <w:outlineLvl w:val="0"/>
    </w:pPr>
    <w:rPr>
      <w:rFonts w:ascii="黑体" w:hAnsi="黑体" w:eastAsia="黑体" w:cs="黑体"/>
      <w:b/>
      <w:bCs/>
      <w:color w:val="1F4E79"/>
      <w:sz w:val="32"/>
      <w:szCs w:val="32"/>
    </w:rPr>
  </w:style>
  <w:style w:type="paragraph" w:styleId="3">
    <w:name w:val="heading 2"/>
    <w:next w:val="1"/>
    <w:qFormat/>
    <w:uiPriority w:val="0"/>
    <w:pPr>
      <w:spacing w:before="300" w:after="180" w:line="360" w:lineRule="auto"/>
      <w:outlineLvl w:val="1"/>
    </w:pPr>
    <w:rPr>
      <w:rFonts w:ascii="黑体" w:hAnsi="黑体" w:eastAsia="黑体" w:cs="黑体"/>
      <w:b/>
      <w:bCs/>
      <w:sz w:val="28"/>
      <w:szCs w:val="28"/>
    </w:rPr>
  </w:style>
  <w:style w:type="paragraph" w:styleId="4">
    <w:name w:val="heading 3"/>
    <w:next w:val="1"/>
    <w:qFormat/>
    <w:uiPriority w:val="0"/>
    <w:pPr>
      <w:spacing w:before="240" w:after="120" w:line="360" w:lineRule="auto"/>
      <w:outlineLvl w:val="2"/>
    </w:pPr>
    <w:rPr>
      <w:rFonts w:ascii="黑体" w:hAnsi="黑体" w:eastAsia="黑体" w:cs="黑体"/>
      <w:b/>
      <w:bCs/>
      <w:sz w:val="26"/>
      <w:szCs w:val="26"/>
    </w:rPr>
  </w:style>
  <w:style w:type="paragraph" w:styleId="5">
    <w:name w:val="heading 4"/>
    <w:next w:val="1"/>
    <w:qFormat/>
    <w:uiPriority w:val="0"/>
    <w:pPr>
      <w:spacing w:line="360" w:lineRule="auto"/>
    </w:pPr>
    <w:rPr>
      <w:rFonts w:ascii="宋体" w:hAnsi="宋体" w:eastAsia="宋体" w:cs="宋体"/>
      <w:i/>
      <w:iCs/>
      <w:color w:val="2E74B5"/>
      <w:sz w:val="24"/>
      <w:szCs w:val="24"/>
    </w:rPr>
  </w:style>
  <w:style w:type="paragraph" w:styleId="6">
    <w:name w:val="heading 5"/>
    <w:next w:val="1"/>
    <w:qFormat/>
    <w:uiPriority w:val="0"/>
    <w:pPr>
      <w:spacing w:line="360" w:lineRule="auto"/>
    </w:pPr>
    <w:rPr>
      <w:rFonts w:ascii="宋体" w:hAnsi="宋体" w:eastAsia="宋体" w:cs="宋体"/>
      <w:color w:val="2E74B5"/>
      <w:sz w:val="24"/>
      <w:szCs w:val="24"/>
    </w:rPr>
  </w:style>
  <w:style w:type="paragraph" w:styleId="7">
    <w:name w:val="heading 6"/>
    <w:next w:val="1"/>
    <w:qFormat/>
    <w:uiPriority w:val="0"/>
    <w:pPr>
      <w:spacing w:line="360" w:lineRule="auto"/>
    </w:pPr>
    <w:rPr>
      <w:rFonts w:ascii="宋体" w:hAnsi="宋体" w:eastAsia="宋体" w:cs="宋体"/>
      <w:color w:val="1F4D78"/>
      <w:sz w:val="24"/>
      <w:szCs w:val="24"/>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8">
    <w:name w:val="toc 3"/>
    <w:basedOn w:val="1"/>
    <w:next w:val="1"/>
    <w:uiPriority w:val="0"/>
    <w:pPr>
      <w:ind w:left="840" w:leftChars="400"/>
    </w:pPr>
  </w:style>
  <w:style w:type="paragraph" w:styleId="9">
    <w:name w:val="endnote text"/>
    <w:link w:val="21"/>
    <w:semiHidden/>
    <w:unhideWhenUsed/>
    <w:qFormat/>
    <w:uiPriority w:val="99"/>
    <w:pPr>
      <w:spacing w:after="0" w:line="240" w:lineRule="auto"/>
    </w:pPr>
    <w:rPr>
      <w:rFonts w:ascii="宋体" w:hAnsi="宋体" w:eastAsia="宋体" w:cs="宋体"/>
      <w:sz w:val="20"/>
      <w:szCs w:val="20"/>
    </w:rPr>
  </w:style>
  <w:style w:type="paragraph" w:styleId="10">
    <w:name w:val="toc 1"/>
    <w:basedOn w:val="1"/>
    <w:next w:val="1"/>
    <w:uiPriority w:val="0"/>
  </w:style>
  <w:style w:type="paragraph" w:styleId="11">
    <w:name w:val="footnote text"/>
    <w:link w:val="20"/>
    <w:semiHidden/>
    <w:unhideWhenUsed/>
    <w:qFormat/>
    <w:uiPriority w:val="99"/>
    <w:pPr>
      <w:spacing w:after="0" w:line="240" w:lineRule="auto"/>
    </w:pPr>
    <w:rPr>
      <w:rFonts w:ascii="宋体" w:hAnsi="宋体" w:eastAsia="宋体" w:cs="宋体"/>
      <w:sz w:val="20"/>
      <w:szCs w:val="20"/>
    </w:rPr>
  </w:style>
  <w:style w:type="paragraph" w:styleId="12">
    <w:name w:val="toc 2"/>
    <w:basedOn w:val="1"/>
    <w:next w:val="1"/>
    <w:uiPriority w:val="0"/>
    <w:pPr>
      <w:ind w:left="420" w:leftChars="200"/>
    </w:pPr>
  </w:style>
  <w:style w:type="paragraph" w:styleId="13">
    <w:name w:val="Title"/>
    <w:qFormat/>
    <w:uiPriority w:val="0"/>
    <w:pPr>
      <w:spacing w:line="360" w:lineRule="auto"/>
    </w:pPr>
    <w:rPr>
      <w:rFonts w:ascii="宋体" w:hAnsi="宋体" w:eastAsia="宋体" w:cs="宋体"/>
      <w:sz w:val="56"/>
      <w:szCs w:val="56"/>
    </w:rPr>
  </w:style>
  <w:style w:type="character" w:styleId="16">
    <w:name w:val="endnote reference"/>
    <w:semiHidden/>
    <w:unhideWhenUsed/>
    <w:qFormat/>
    <w:uiPriority w:val="99"/>
    <w:rPr>
      <w:vertAlign w:val="superscript"/>
    </w:rPr>
  </w:style>
  <w:style w:type="character" w:styleId="17">
    <w:name w:val="Hyperlink"/>
    <w:unhideWhenUsed/>
    <w:qFormat/>
    <w:uiPriority w:val="99"/>
    <w:rPr>
      <w:color w:val="0563C1"/>
      <w:u w:val="single"/>
    </w:rPr>
  </w:style>
  <w:style w:type="character" w:styleId="18">
    <w:name w:val="footnote reference"/>
    <w:semiHidden/>
    <w:unhideWhenUsed/>
    <w:qFormat/>
    <w:uiPriority w:val="99"/>
    <w:rPr>
      <w:vertAlign w:val="superscript"/>
    </w:rPr>
  </w:style>
  <w:style w:type="paragraph" w:styleId="19">
    <w:name w:val="List Paragraph"/>
    <w:qFormat/>
    <w:uiPriority w:val="0"/>
    <w:pPr>
      <w:spacing w:line="360" w:lineRule="auto"/>
    </w:pPr>
    <w:rPr>
      <w:rFonts w:ascii="宋体" w:hAnsi="宋体" w:eastAsia="宋体" w:cs="宋体"/>
      <w:sz w:val="24"/>
      <w:szCs w:val="24"/>
    </w:rPr>
  </w:style>
  <w:style w:type="character" w:customStyle="1" w:styleId="20">
    <w:name w:val="Footnote Text Char"/>
    <w:link w:val="11"/>
    <w:semiHidden/>
    <w:unhideWhenUsed/>
    <w:qFormat/>
    <w:uiPriority w:val="99"/>
    <w:rPr>
      <w:sz w:val="20"/>
      <w:szCs w:val="20"/>
    </w:rPr>
  </w:style>
  <w:style w:type="character" w:customStyle="1" w:styleId="21">
    <w:name w:val="Endnote Text Char"/>
    <w:link w:val="9"/>
    <w:semiHidden/>
    <w:unhideWhenUsed/>
    <w:qFormat/>
    <w:uiPriority w:val="99"/>
    <w:rPr>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139</Pages>
  <Words>14269</Words>
  <Characters>14655</Characters>
  <TotalTime>0</TotalTime>
  <ScaleCrop>false</ScaleCrop>
  <LinksUpToDate>false</LinksUpToDate>
  <CharactersWithSpaces>14781</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2026-07-05T08:52:00Z</dcterms:created>
  <dc:creator>Un-named</dc:creator>
  <cp:lastModifiedBy>Gongel-legend</cp:lastModifiedBy>
  <dcterms:modified xsi:type="dcterms:W3CDTF">2026-07-05T08:58:28Z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eyJoZGlkIjoiYjc1ZjUwOTJiNzVkYjYwZmRhZTRjNWVhYjY0NjczNTIiLCJ1c2VySWQiOiIzMjQyODA1MzEifQ==</vt:lpwstr>
  </property>
  <property fmtid="{D5CDD505-2E9C-101B-9397-08002B2CF9AE}" pid="3" name="KSOProductBuildVer">
    <vt:lpwstr>2052-12.1.0.26895</vt:lpwstr>
  </property>
  <property fmtid="{D5CDD505-2E9C-101B-9397-08002B2CF9AE}" pid="4" name="ICV">
    <vt:lpwstr>E684D5C818614C989D77ECD724CCAE88_12</vt:lpwstr>
  </property>
</Properties>
</file>