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Times New Roman" w:hAnsi="Times New Roman" w:eastAsia="黑体"/>
          <w:b/>
          <w:color w:val="1F4E79"/>
          <w:sz w:val="56"/>
        </w:rPr>
        <w:t>山地旅游数字化运营管理</w:t>
      </w:r>
    </w:p>
    <w:p>
      <w:pPr>
        <w:jc w:val="center"/>
      </w:pPr>
      <w:r>
        <w:rPr>
          <w:rFonts w:ascii="Times New Roman" w:hAnsi="Times New Roman" w:eastAsia="楷体"/>
          <w:color w:val="5A5A5A"/>
          <w:sz w:val="30"/>
        </w:rPr>
        <w:t>数据要素、智慧服务与目的地高质量发展的理论机制</w:t>
      </w:r>
    </w:p>
    <w:p/>
    <w:p/>
    <w:p/>
    <w:p/>
    <w:p/>
    <w:p/>
    <w:p/>
    <w:p/>
    <w:p/>
    <w:p/>
    <w:p>
      <w:pPr>
        <w:jc w:val="center"/>
      </w:pPr>
      <w:r>
        <w:rPr>
          <w:rFonts w:ascii="Times New Roman" w:hAnsi="Times New Roman" w:eastAsia="宋体"/>
          <w:sz w:val="24"/>
        </w:rPr>
        <w:t>祝刚  安顺学院旅游管理学院</w:t>
      </w:r>
    </w:p>
    <w:p>
      <w:pPr>
        <w:jc w:val="center"/>
      </w:pPr>
      <w:r>
        <w:rPr>
          <w:rFonts w:ascii="Times New Roman" w:hAnsi="Times New Roman" w:eastAsia="宋体"/>
          <w:sz w:val="24"/>
        </w:rPr>
        <w:t>2026年7月</w:t>
      </w:r>
    </w:p>
    <w:p>
      <w:pPr>
        <w:sectPr>
          <w:headerReference w:type="default" r:id="rId9"/>
          <w:footerReference w:type="default" r:id="rId10"/>
          <w:pgSz w:w="11906" w:h="16838"/>
          <w:pgMar w:top="1417" w:right="1361" w:bottom="1304" w:left="1474" w:header="680" w:footer="680" w:gutter="0"/>
          <w:cols w:space="720"/>
          <w:docGrid w:linePitch="360"/>
        </w:sectPr>
      </w:pPr>
    </w:p>
    <w:p>
      <w:pPr>
        <w:pStyle w:val="Title"/>
      </w:pPr>
      <w:r>
        <w:t>山地旅游数字化运营管理</w:t>
      </w:r>
    </w:p>
    <w:p>
      <w:r>
        <w:rPr>
          <w:rFonts w:ascii="Times New Roman" w:hAnsi="Times New Roman" w:eastAsia="宋体"/>
          <w:sz w:val="21"/>
        </w:rPr>
        <w:t>数据要素、智慧服务与目的地高质量发展的理论机制</w:t>
      </w:r>
    </w:p>
    <w:p>
      <w:r>
        <w:rPr>
          <w:rFonts w:ascii="Times New Roman" w:hAnsi="Times New Roman" w:eastAsia="宋体"/>
          <w:sz w:val="21"/>
        </w:rPr>
        <w:t>作者：祝刚  安顺学院旅游管理学院</w:t>
      </w:r>
    </w:p>
    <w:p>
      <w:r>
        <w:rPr>
          <w:rFonts w:ascii="Times New Roman" w:hAnsi="Times New Roman" w:eastAsia="宋体"/>
          <w:sz w:val="21"/>
        </w:rPr>
        <w:t>说明：本稿为专著初稿，案例事实、项目数据、政策文件和引用文献需在正式出版前逐条核验。</w:t>
      </w:r>
    </w:p>
    <w:p>
      <w:r>
        <w:br w:type="page"/>
      </w:r>
    </w:p>
    <w:p>
      <w:pPr>
        <w:pStyle w:val="Heading1"/>
      </w:pPr>
      <w:r>
        <w:t>山地旅游数字化运营管理</w:t>
      </w:r>
    </w:p>
    <w:p>
      <w:pPr>
        <w:pStyle w:val="Heading2"/>
      </w:pPr>
      <w:r>
        <w:t>项目卡</w:t>
      </w:r>
    </w:p>
    <w:p>
      <w:r>
        <w:rPr>
          <w:rFonts w:ascii="Times New Roman" w:hAnsi="Times New Roman" w:eastAsia="宋体"/>
          <w:sz w:val="21"/>
        </w:rPr>
        <w:t>书稿类型：专著型教材/研究型教材</w:t>
      </w:r>
    </w:p>
    <w:p>
      <w:r>
        <w:rPr>
          <w:rFonts w:ascii="Times New Roman" w:hAnsi="Times New Roman" w:eastAsia="宋体"/>
          <w:sz w:val="21"/>
        </w:rPr>
        <w:t>读者对象：旅游管理、数字文旅、文化产业管理、智慧景区管理、目的地管理相关专业师生，地方文旅部门、景区和文旅企业运营人员。</w:t>
      </w:r>
    </w:p>
    <w:p>
      <w:r>
        <w:rPr>
          <w:rFonts w:ascii="Times New Roman" w:hAnsi="Times New Roman" w:eastAsia="宋体"/>
          <w:sz w:val="21"/>
        </w:rPr>
        <w:t>核心问题：山地旅游目的地如何通过数据要素、智慧服务、平台协同和数字化治理提升运营效率、游客体验、风险韧性、文化价值转化和高质量发展能力。</w:t>
      </w:r>
    </w:p>
    <w:p>
      <w:r>
        <w:rPr>
          <w:rFonts w:ascii="Times New Roman" w:hAnsi="Times New Roman" w:eastAsia="宋体"/>
          <w:sz w:val="21"/>
        </w:rPr>
        <w:t>地方特色：聚焦贵州山地旅游、安顺和黄果树实践、屯堡文化、民族文化、夜游经济、智慧景区、游客流预测、景区扩容和地方高校数字文旅人才培养。</w:t>
      </w:r>
    </w:p>
    <w:p>
      <w:r>
        <w:rPr>
          <w:rFonts w:ascii="Times New Roman" w:hAnsi="Times New Roman" w:eastAsia="宋体"/>
          <w:sz w:val="21"/>
        </w:rPr>
        <w:t>证据边界：本初稿以既有项目材料、课程材料、地方实践线索和理论推演为基础，涉及具体数据、项目成效、政策表述和企业案例时均需后续核验。</w:t>
      </w:r>
    </w:p>
    <w:p>
      <w:pPr>
        <w:pStyle w:val="Heading2"/>
      </w:pPr>
      <w:r>
        <w:t>前言</w:t>
      </w:r>
    </w:p>
    <w:p>
      <w:r>
        <w:rPr>
          <w:rFonts w:ascii="Times New Roman" w:hAnsi="Times New Roman" w:eastAsia="宋体"/>
          <w:sz w:val="21"/>
        </w:rPr>
        <w:t>山地旅游是中国西部文旅高质量发展的重要形态，也是理解数字文旅从概念走向治理、运营和价值转化的典型场景。与平原城市型旅游、主题乐园和单体景区不同，山地旅游目的地通常具有资源空间分散、交通可达性受限、生态敏感度高、天气影响明显、客流峰谷波动大、文化资源嵌入深和多主体协同难度高等特征。这些特征使山地旅游运营天然具有复杂系统属性。</w:t>
      </w:r>
    </w:p>
    <w:p>
      <w:r>
        <w:rPr>
          <w:rFonts w:ascii="Times New Roman" w:hAnsi="Times New Roman" w:eastAsia="宋体"/>
          <w:sz w:val="21"/>
        </w:rPr>
        <w:t>数字化运营管理的意义，不在于给传统旅游管理贴上技术标签，而在于重构目的地识别问题、组织数据、配置资源、响应游客、治理风险和创造价值的方式。票务、监测、导航、评价、营销、客服、交通、支付和应急等系统，如果彼此割裂，只会形成新的数据孤岛；只有当数据进入流程、流程连接组织、组织形成协同、协同指向绩效，数字化才真正成为运营能力。</w:t>
      </w:r>
    </w:p>
    <w:p>
      <w:r>
        <w:rPr>
          <w:rFonts w:ascii="Times New Roman" w:hAnsi="Times New Roman" w:eastAsia="宋体"/>
          <w:sz w:val="21"/>
        </w:rPr>
        <w:t>本书以“数据要素—运营能力—价值创造—治理协同”为主线，结合贵州山地旅游、安顺和黄果树等地方实践线索，构建山地旅游数字化运营管理的理论机制与方法体系。全书既面向本科和研究生教学，也面向地方文旅实践研究，强调把技术问题还原为旅游管理问题，把地方案例提炼为可迁移的机制模型。</w:t>
      </w:r>
    </w:p>
    <w:p>
      <w:pPr>
        <w:pStyle w:val="Heading2"/>
      </w:pPr>
      <w:r>
        <w:t>目录</w:t>
      </w:r>
    </w:p>
    <w:p>
      <w:r>
        <w:rPr>
          <w:rFonts w:ascii="Times New Roman" w:hAnsi="Times New Roman" w:eastAsia="宋体"/>
          <w:sz w:val="21"/>
        </w:rPr>
        <w:t>1. 第1章 山地旅游数字化运营管理导论</w:t>
      </w:r>
    </w:p>
    <w:p>
      <w:r>
        <w:rPr>
          <w:rFonts w:ascii="Times New Roman" w:hAnsi="Times New Roman" w:eastAsia="宋体"/>
          <w:sz w:val="21"/>
        </w:rPr>
        <w:t>2. 第2章 山地旅游目的地的系统特征与运营逻辑</w:t>
      </w:r>
    </w:p>
    <w:p>
      <w:r>
        <w:rPr>
          <w:rFonts w:ascii="Times New Roman" w:hAnsi="Times New Roman" w:eastAsia="宋体"/>
          <w:sz w:val="21"/>
        </w:rPr>
        <w:t>3. 第3章 数据要素与山地旅游运营能力重构</w:t>
      </w:r>
    </w:p>
    <w:p>
      <w:r>
        <w:rPr>
          <w:rFonts w:ascii="Times New Roman" w:hAnsi="Times New Roman" w:eastAsia="宋体"/>
          <w:sz w:val="21"/>
        </w:rPr>
        <w:t>4. 第4章 智慧基础设施与运营感知体系</w:t>
      </w:r>
    </w:p>
    <w:p>
      <w:r>
        <w:rPr>
          <w:rFonts w:ascii="Times New Roman" w:hAnsi="Times New Roman" w:eastAsia="宋体"/>
          <w:sz w:val="21"/>
        </w:rPr>
        <w:t>5. 第5章 游客流预测、容量管理与排队优化</w:t>
      </w:r>
    </w:p>
    <w:p>
      <w:r>
        <w:rPr>
          <w:rFonts w:ascii="Times New Roman" w:hAnsi="Times New Roman" w:eastAsia="宋体"/>
          <w:sz w:val="21"/>
        </w:rPr>
        <w:t>6. 第6章 智慧服务、游客体验与数字触点运营</w:t>
      </w:r>
    </w:p>
    <w:p>
      <w:r>
        <w:rPr>
          <w:rFonts w:ascii="Times New Roman" w:hAnsi="Times New Roman" w:eastAsia="宋体"/>
          <w:sz w:val="21"/>
        </w:rPr>
        <w:t>7. 第7章 数字营销、内容运营与山地旅游品牌传播</w:t>
      </w:r>
    </w:p>
    <w:p>
      <w:r>
        <w:rPr>
          <w:rFonts w:ascii="Times New Roman" w:hAnsi="Times New Roman" w:eastAsia="宋体"/>
          <w:sz w:val="21"/>
        </w:rPr>
        <w:t>8. 第8章 文化资源数字化活化与沉浸式运营</w:t>
      </w:r>
    </w:p>
    <w:p>
      <w:r>
        <w:rPr>
          <w:rFonts w:ascii="Times New Roman" w:hAnsi="Times New Roman" w:eastAsia="宋体"/>
          <w:sz w:val="21"/>
        </w:rPr>
        <w:t>9. 第9章 产业链协同、平台治理与目的地生态运营</w:t>
      </w:r>
    </w:p>
    <w:p>
      <w:r>
        <w:rPr>
          <w:rFonts w:ascii="Times New Roman" w:hAnsi="Times New Roman" w:eastAsia="宋体"/>
          <w:sz w:val="21"/>
        </w:rPr>
        <w:t>10. 第10章 风险预警、应急调度与韧性运营</w:t>
      </w:r>
    </w:p>
    <w:p>
      <w:r>
        <w:rPr>
          <w:rFonts w:ascii="Times New Roman" w:hAnsi="Times New Roman" w:eastAsia="宋体"/>
          <w:sz w:val="21"/>
        </w:rPr>
        <w:t>11. 第11章 数字化运营绩效评价与投资决策</w:t>
      </w:r>
    </w:p>
    <w:p>
      <w:r>
        <w:rPr>
          <w:rFonts w:ascii="Times New Roman" w:hAnsi="Times New Roman" w:eastAsia="宋体"/>
          <w:sz w:val="21"/>
        </w:rPr>
        <w:t>12. 第12章 山地旅游数字化运营管理的未来范式</w:t>
      </w:r>
    </w:p>
    <w:p>
      <w:pPr>
        <w:pStyle w:val="Heading1"/>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山地旅游数字化运营管理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1"/>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pPr>
      <w:r>
        <w:t>第1章 山地旅游数字化运营管理导论</w:t>
      </w:r>
    </w:p>
    <w:p>
      <w:pPr>
        <w:pStyle w:val="Heading2"/>
      </w:pPr>
      <w:r>
        <w:t>研究问题</w:t>
      </w:r>
    </w:p>
    <w:p>
      <w:r>
        <w:rPr>
          <w:rFonts w:ascii="Times New Roman" w:hAnsi="Times New Roman" w:eastAsia="宋体"/>
          <w:sz w:val="21"/>
        </w:rPr>
        <w:t>山地旅游目的地为什么需要从经验型运营走向数据驱动运营？</w:t>
      </w:r>
    </w:p>
    <w:p>
      <w:pPr>
        <w:pStyle w:val="Heading2"/>
      </w:pPr>
      <w:r>
        <w:t>理论命题</w:t>
      </w:r>
    </w:p>
    <w:p>
      <w:r>
        <w:rPr>
          <w:rFonts w:ascii="Times New Roman" w:hAnsi="Times New Roman" w:eastAsia="宋体"/>
          <w:sz w:val="21"/>
        </w:rPr>
        <w:t>山地旅游的复杂性来自空间起伏、资源离散、交通约束、生态敏感、天气扰动和客流峰谷波动。数字化运营的价值不在于简单建设系统，而在于把游客流、交通流、消费流、信息流、风险流和文化体验流转化为可感知、可分析、可调度、可评价的运营对象。</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复杂系统视角、目的地运营闭环、问题-数据-流程-绩效框架。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以黄果树、龙宫、格凸河、屯堡村寨和贵州山地旅游线路为场景，分析目的地在旺季客流、交通衔接、停留时间延伸、夜间消费、安全预警和文化表达方面的数字化运营需求。</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目的地为什么需要从经验型运营走向数据驱动运营？”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jc w:val="center"/>
      </w:pPr>
      <w:r>
        <w:drawing>
          <wp:inline xmlns:a="http://schemas.openxmlformats.org/drawingml/2006/main" xmlns:pic="http://schemas.openxmlformats.org/drawingml/2006/picture">
            <wp:extent cx="5652000" cy="3176406"/>
            <wp:docPr id="2" name="02_技术路线图" title="02_技术路线图" descr="山地旅游数字化运营管理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2"/>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pPr>
      <w:r>
        <w:t>第2章 山地旅游目的地的系统特征与运营逻辑</w:t>
      </w:r>
    </w:p>
    <w:p>
      <w:pPr>
        <w:pStyle w:val="Heading2"/>
      </w:pPr>
      <w:r>
        <w:t>研究问题</w:t>
      </w:r>
    </w:p>
    <w:p>
      <w:r>
        <w:rPr>
          <w:rFonts w:ascii="Times New Roman" w:hAnsi="Times New Roman" w:eastAsia="宋体"/>
          <w:sz w:val="21"/>
        </w:rPr>
        <w:t>山地旅游目的地与城市景区、主题乐园和线上平台相比，运营逻辑有何差异？</w:t>
      </w:r>
    </w:p>
    <w:p>
      <w:pPr>
        <w:pStyle w:val="Heading2"/>
      </w:pPr>
      <w:r>
        <w:t>理论命题</w:t>
      </w:r>
    </w:p>
    <w:p>
      <w:r>
        <w:rPr>
          <w:rFonts w:ascii="Times New Roman" w:hAnsi="Times New Roman" w:eastAsia="宋体"/>
          <w:sz w:val="21"/>
        </w:rPr>
        <w:t>山地旅游目的地不是单点景区，而是由自然景观、村寨社区、交通网络、住宿餐饮、文化活动、生态环境和公共治理共同构成的复合系统。运营管理必须同时处理效率、体验、安全、生态和社区收益。</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利益相关者分析、空间节点-线路网络分析、运营瓶颈诊断。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以贵州山地旅游线路组织为例，讨论多节点游览、峡谷步道、观景平台、换乘接驳、天气变化和乡村服务供给之间的耦合关系。</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目的地与城市景区、主题乐园和线上平台相比，运营逻辑有何差异？”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第3章 数据要素与山地旅游运营能力重构</w:t>
      </w:r>
    </w:p>
    <w:p>
      <w:pPr>
        <w:pStyle w:val="Heading2"/>
      </w:pPr>
      <w:r>
        <w:t>研究问题</w:t>
      </w:r>
    </w:p>
    <w:p>
      <w:r>
        <w:rPr>
          <w:rFonts w:ascii="Times New Roman" w:hAnsi="Times New Roman" w:eastAsia="宋体"/>
          <w:sz w:val="21"/>
        </w:rPr>
        <w:t>数据如何从后台记录变成山地旅游目的地的生产要素？</w:t>
      </w:r>
    </w:p>
    <w:p>
      <w:pPr>
        <w:pStyle w:val="Heading2"/>
      </w:pPr>
      <w:r>
        <w:t>理论命题</w:t>
      </w:r>
    </w:p>
    <w:p>
      <w:r>
        <w:rPr>
          <w:rFonts w:ascii="Times New Roman" w:hAnsi="Times New Roman" w:eastAsia="宋体"/>
          <w:sz w:val="21"/>
        </w:rPr>
        <w:t>数据要素进入山地旅游运营，需要经历资源化、标准化、治理化、场景化和价值化过程。只有当数据能够支撑预测、调度、服务、营销、风控和评价时，数据才真正转化为运营能力。</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数据资源目录、数据权责矩阵、数据生命周期管理、数据质量评价。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结合贵州智慧旅游平台、可信旅游数据空间、一票一码游览、景区监测和游客评论等线索，构建山地旅游目的地数据资源目录。</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数据如何从后台记录变成山地旅游目的地的生产要素？”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第4章 智慧基础设施与运营感知体系</w:t>
      </w:r>
    </w:p>
    <w:p>
      <w:pPr>
        <w:pStyle w:val="Heading2"/>
      </w:pPr>
      <w:r>
        <w:t>研究问题</w:t>
      </w:r>
    </w:p>
    <w:p>
      <w:r>
        <w:rPr>
          <w:rFonts w:ascii="Times New Roman" w:hAnsi="Times New Roman" w:eastAsia="宋体"/>
          <w:sz w:val="21"/>
        </w:rPr>
        <w:t>山地旅游数字化运营需要怎样的基础设施和感知体系？</w:t>
      </w:r>
    </w:p>
    <w:p>
      <w:pPr>
        <w:pStyle w:val="Heading2"/>
      </w:pPr>
      <w:r>
        <w:t>理论命题</w:t>
      </w:r>
    </w:p>
    <w:p>
      <w:r>
        <w:rPr>
          <w:rFonts w:ascii="Times New Roman" w:hAnsi="Times New Roman" w:eastAsia="宋体"/>
          <w:sz w:val="21"/>
        </w:rPr>
        <w:t>智慧基础设施不只是摄像头、闸机和网络覆盖，而是围绕人、车、票、场、物、环境和风险建立感知体系。山地旅游的感知体系要特别关注空间盲区、天气扰动、步道容量、峡谷疏散和夜游照明。</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技术-场景匹配矩阵、感知对象清单、数字孪生运营底图。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以黄果树夜游和山地景区高峰接待为例，设计感知层、网络层、平台层和应用层的基础架构。</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数字化运营需要怎样的基础设施和感知体系？”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第5章 游客流预测、容量管理与排队优化</w:t>
      </w:r>
    </w:p>
    <w:p>
      <w:pPr>
        <w:pStyle w:val="Heading2"/>
      </w:pPr>
      <w:r>
        <w:t>研究问题</w:t>
      </w:r>
    </w:p>
    <w:p>
      <w:r>
        <w:rPr>
          <w:rFonts w:ascii="Times New Roman" w:hAnsi="Times New Roman" w:eastAsia="宋体"/>
          <w:sz w:val="21"/>
        </w:rPr>
        <w:t>如何用数据减少拥堵、等待和体验落差？</w:t>
      </w:r>
    </w:p>
    <w:p>
      <w:pPr>
        <w:pStyle w:val="Heading2"/>
      </w:pPr>
      <w:r>
        <w:t>理论命题</w:t>
      </w:r>
    </w:p>
    <w:p>
      <w:r>
        <w:rPr>
          <w:rFonts w:ascii="Times New Roman" w:hAnsi="Times New Roman" w:eastAsia="宋体"/>
          <w:sz w:val="21"/>
        </w:rPr>
        <w:t>山地旅游的容量管理不能只看最大接待量，还要看节点容量、线路容量、换乘容量、服务容量和生态容量。游客流预测应服务于预约分时、交通调度、人员排班、入口控制、节点分流和应急预案。</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时间序列预测、排队论基础、承载力评估、情景推演。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以黄果树景区扩容、观景节点拥挤、换乘排队和节假日客流为线索，构建游客流预测与分流方案。</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如何用数据减少拥堵、等待和体验落差？”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第6章 智慧服务、游客体验与数字触点运营</w:t>
      </w:r>
    </w:p>
    <w:p>
      <w:pPr>
        <w:pStyle w:val="Heading2"/>
      </w:pPr>
      <w:r>
        <w:t>研究问题</w:t>
      </w:r>
    </w:p>
    <w:p>
      <w:r>
        <w:rPr>
          <w:rFonts w:ascii="Times New Roman" w:hAnsi="Times New Roman" w:eastAsia="宋体"/>
          <w:sz w:val="21"/>
        </w:rPr>
        <w:t>山地旅游如何通过数字触点改善全流程体验？</w:t>
      </w:r>
    </w:p>
    <w:p>
      <w:pPr>
        <w:pStyle w:val="Heading2"/>
      </w:pPr>
      <w:r>
        <w:t>理论命题</w:t>
      </w:r>
    </w:p>
    <w:p>
      <w:r>
        <w:rPr>
          <w:rFonts w:ascii="Times New Roman" w:hAnsi="Times New Roman" w:eastAsia="宋体"/>
          <w:sz w:val="21"/>
        </w:rPr>
        <w:t>游客体验发生在行前、行中和行后，数字化服务应覆盖搜索、预订、交通、入园、导览、消费、投诉、评价和再传播。山地旅游更要处理老年游客数字鸿沟、通信盲区、天气提示、路线理解和文化解释问题。</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服务蓝图、游客旅程地图、触点管理、SERVQUAL服务质量评价。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围绕安顺山地旅游两日游，设计从出发前信息获取到返程后评价反馈的全流程数字服务蓝图。</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如何通过数字触点改善全流程体验？”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第7章 数字营销、内容运营与山地旅游品牌传播</w:t>
      </w:r>
    </w:p>
    <w:p>
      <w:pPr>
        <w:pStyle w:val="Heading2"/>
      </w:pPr>
      <w:r>
        <w:t>研究问题</w:t>
      </w:r>
    </w:p>
    <w:p>
      <w:r>
        <w:rPr>
          <w:rFonts w:ascii="Times New Roman" w:hAnsi="Times New Roman" w:eastAsia="宋体"/>
          <w:sz w:val="21"/>
        </w:rPr>
        <w:t>山地旅游目的地如何从流量曝光走向品牌资产沉淀？</w:t>
      </w:r>
    </w:p>
    <w:p>
      <w:pPr>
        <w:pStyle w:val="Heading2"/>
      </w:pPr>
      <w:r>
        <w:t>理论命题</w:t>
      </w:r>
    </w:p>
    <w:p>
      <w:r>
        <w:rPr>
          <w:rFonts w:ascii="Times New Roman" w:hAnsi="Times New Roman" w:eastAsia="宋体"/>
          <w:sz w:val="21"/>
        </w:rPr>
        <w:t>数字营销不是短视频发布的同义词，而是由内容定位、用户分层、渠道协同、转化路径、复购机制和口碑治理构成的运营系统。山地旅游品牌应突出生态、文化、避暑、运动、研学和生活方式价值。</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AARRR模型、内容矩阵、用户画像、舆情分析。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以黄果树品牌、屯堡文化、贵州避暑康养和村寨活动传播为线索，设计内容矩阵与转化漏斗。</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目的地如何从流量曝光走向品牌资产沉淀？”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第8章 文化资源数字化活化与沉浸式运营</w:t>
      </w:r>
    </w:p>
    <w:p>
      <w:pPr>
        <w:pStyle w:val="Heading2"/>
      </w:pPr>
      <w:r>
        <w:t>研究问题</w:t>
      </w:r>
    </w:p>
    <w:p>
      <w:r>
        <w:rPr>
          <w:rFonts w:ascii="Times New Roman" w:hAnsi="Times New Roman" w:eastAsia="宋体"/>
          <w:sz w:val="21"/>
        </w:rPr>
        <w:t>数字化如何让山地旅游从看风景走向深体验？</w:t>
      </w:r>
    </w:p>
    <w:p>
      <w:pPr>
        <w:pStyle w:val="Heading2"/>
      </w:pPr>
      <w:r>
        <w:t>理论命题</w:t>
      </w:r>
    </w:p>
    <w:p>
      <w:r>
        <w:rPr>
          <w:rFonts w:ascii="Times New Roman" w:hAnsi="Times New Roman" w:eastAsia="宋体"/>
          <w:sz w:val="21"/>
        </w:rPr>
        <w:t>山地旅游的高质量发展不能只依赖自然景观，还需要把地方文化、民族文化、屯堡文化、非遗技艺、乡村生活和夜间消费转化为可理解、可参与、可传播的体验。数字化活化必须守住文化真实性、社区授权和版权边界。</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数字叙事设计、IP开发路径、授权清单、体验价值评估。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以屯堡文化、布依族和苗族文化、黄果树夜游光影体验为线索，讨论AIGC、AR导览、数字展陈和沉浸式演艺的运营边界。</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数字化如何让山地旅游从看风景走向深体验？”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第9章 产业链协同、平台治理与目的地生态运营</w:t>
      </w:r>
    </w:p>
    <w:p>
      <w:pPr>
        <w:pStyle w:val="Heading2"/>
      </w:pPr>
      <w:r>
        <w:t>研究问题</w:t>
      </w:r>
    </w:p>
    <w:p>
      <w:r>
        <w:rPr>
          <w:rFonts w:ascii="Times New Roman" w:hAnsi="Times New Roman" w:eastAsia="宋体"/>
          <w:sz w:val="21"/>
        </w:rPr>
        <w:t>山地旅游如何跨越单一景区运营，形成目的地生态协同？</w:t>
      </w:r>
    </w:p>
    <w:p>
      <w:pPr>
        <w:pStyle w:val="Heading2"/>
      </w:pPr>
      <w:r>
        <w:t>理论命题</w:t>
      </w:r>
    </w:p>
    <w:p>
      <w:r>
        <w:rPr>
          <w:rFonts w:ascii="Times New Roman" w:hAnsi="Times New Roman" w:eastAsia="宋体"/>
          <w:sz w:val="21"/>
        </w:rPr>
        <w:t>目的地运营需要打通景区、酒店、餐饮、交通、旅行社、平台企业、社区和政府部门。数字平台的价值在于促进供需匹配、资源共享、收益分配、质量监管和风险共治。</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平台治理、价值共创、供应链协同、多主体协作机制。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以安顺及周边旅游要素协同为例，分析景区门票、酒店住宿、交通接驳、地方餐饮、文创消费和乡村旅游之间的数据协同需求。</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如何跨越单一景区运营，形成目的地生态协同？”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第10章 风险预警、应急调度与韧性运营</w:t>
      </w:r>
    </w:p>
    <w:p>
      <w:pPr>
        <w:pStyle w:val="Heading2"/>
      </w:pPr>
      <w:r>
        <w:t>研究问题</w:t>
      </w:r>
    </w:p>
    <w:p>
      <w:r>
        <w:rPr>
          <w:rFonts w:ascii="Times New Roman" w:hAnsi="Times New Roman" w:eastAsia="宋体"/>
          <w:sz w:val="21"/>
        </w:rPr>
        <w:t>山地旅游数字化运营如何守住安全底线？</w:t>
      </w:r>
    </w:p>
    <w:p>
      <w:pPr>
        <w:pStyle w:val="Heading2"/>
      </w:pPr>
      <w:r>
        <w:t>理论命题</w:t>
      </w:r>
    </w:p>
    <w:p>
      <w:r>
        <w:rPr>
          <w:rFonts w:ascii="Times New Roman" w:hAnsi="Times New Roman" w:eastAsia="宋体"/>
          <w:sz w:val="21"/>
        </w:rPr>
        <w:t>山地旅游风险包括极端天气、落石滑坡、峡谷疏散、夜游照明、交通拥堵、公共卫生、服务纠纷、舆情扩散和数据安全。韧性运营要求目的地在扰动发生前识别风险，在扰动发生时快速响应，在扰动后复盘改进。</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风险矩阵、预警阈值、应急流程图、复盘机制。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围绕暴雨、雷电、夜游离园、节假日拥堵和应急广播，设计山地景区风险预警与应急调度流程。</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山地旅游数字化运营如何守住安全底线？”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第11章 数字化运营绩效评价与投资决策</w:t>
      </w:r>
    </w:p>
    <w:p>
      <w:pPr>
        <w:pStyle w:val="Heading2"/>
      </w:pPr>
      <w:r>
        <w:t>研究问题</w:t>
      </w:r>
    </w:p>
    <w:p>
      <w:r>
        <w:rPr>
          <w:rFonts w:ascii="Times New Roman" w:hAnsi="Times New Roman" w:eastAsia="宋体"/>
          <w:sz w:val="21"/>
        </w:rPr>
        <w:t>如何判断山地旅游数字化项目是否真正产生价值？</w:t>
      </w:r>
    </w:p>
    <w:p>
      <w:pPr>
        <w:pStyle w:val="Heading2"/>
      </w:pPr>
      <w:r>
        <w:t>理论命题</w:t>
      </w:r>
    </w:p>
    <w:p>
      <w:r>
        <w:rPr>
          <w:rFonts w:ascii="Times New Roman" w:hAnsi="Times New Roman" w:eastAsia="宋体"/>
          <w:sz w:val="21"/>
        </w:rPr>
        <w:t>数字化项目绩效不能只用上线数量、设备数量和平台访问量衡量，还要评价游客体验、运营效率、消费转化、风险降低、生态保护、文化传播、社区收益和组织能力提升。</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KPI体系、平衡计分卡、AHP、TOPSIS、成本收益分析。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结合黄果树投资预测、景区扩容和智慧服务项目，设计从建设投入到运营产出的绩效评价体系。</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如何判断山地旅游数字化项目是否真正产生价值？”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p>
      <w:pPr>
        <w:pStyle w:val="Heading1"/>
      </w:pPr>
      <w:r>
        <w:t>第12章 山地旅游数字化运营管理的未来范式</w:t>
      </w:r>
    </w:p>
    <w:p>
      <w:pPr>
        <w:pStyle w:val="Heading2"/>
      </w:pPr>
      <w:r>
        <w:t>研究问题</w:t>
      </w:r>
    </w:p>
    <w:p>
      <w:r>
        <w:rPr>
          <w:rFonts w:ascii="Times New Roman" w:hAnsi="Times New Roman" w:eastAsia="宋体"/>
          <w:sz w:val="21"/>
        </w:rPr>
        <w:t>面向数据要素市场化、人工智能和地方高质量发展，山地旅游运营将走向何处？</w:t>
      </w:r>
    </w:p>
    <w:p>
      <w:pPr>
        <w:pStyle w:val="Heading2"/>
      </w:pPr>
      <w:r>
        <w:t>理论命题</w:t>
      </w:r>
    </w:p>
    <w:p>
      <w:r>
        <w:rPr>
          <w:rFonts w:ascii="Times New Roman" w:hAnsi="Times New Roman" w:eastAsia="宋体"/>
          <w:sz w:val="21"/>
        </w:rPr>
        <w:t>未来山地旅游数字化运营将从单点应用走向数据生态，从平台建设走向组织能力，从流量经营走向价值共创，从经验管理走向人机协同。地方高校、政府、景区和企业需要共同建设案例库、指标库、工具库和人才培养体系。</w:t>
      </w:r>
    </w:p>
    <w:p>
      <w:pPr>
        <w:pStyle w:val="Heading2"/>
      </w:pPr>
      <w:r>
        <w:t>分析框架</w:t>
      </w:r>
    </w:p>
    <w:p>
      <w:r>
        <w:rPr>
          <w:rFonts w:ascii="Times New Roman" w:hAnsi="Times New Roman" w:eastAsia="宋体"/>
          <w:sz w:val="21"/>
        </w:rPr>
        <w:t>本章采用“运营问题识别—数据资源组织—业务流程重构—平台工具支撑—绩效反馈改进”的分析框架。山地旅游数字化运营的起点不是技术采购，而是识别目的地真实运营矛盾：游客为什么等待，车辆为什么拥堵，文化体验为什么浅表化，夜间消费为什么难以延伸，风险为什么难以及时发现，部门之间为什么难以协同。只有把这些问题转化为数据结构、流程节点和责任边界，数字化才会进入运营管理的核心。</w:t>
      </w:r>
    </w:p>
    <w:p>
      <w:r>
        <w:rPr>
          <w:rFonts w:ascii="Times New Roman" w:hAnsi="Times New Roman" w:eastAsia="宋体"/>
          <w:sz w:val="21"/>
        </w:rPr>
        <w:t>从机制上看，数字化运营通过三条路径发挥作用。第一是感知路径，即通过票务、交通、视频、传感器、平台行为和游客反馈形成对目的地运行状态的持续感知。第二是协同路径，即通过平台、流程和规则连接政府、景区、企业、社区和游客。第三是价值路径，即通过预测、推荐、调度、内容运营和绩效评价，把数据转化为体验改善、效率提升、安全保障、文化传播和收益增长。</w:t>
      </w:r>
    </w:p>
    <w:p>
      <w:pPr>
        <w:pStyle w:val="Heading2"/>
      </w:pPr>
      <w:r>
        <w:t>文献定位与概念边界</w:t>
      </w:r>
    </w:p>
    <w:p>
      <w:r>
        <w:rPr>
          <w:rFonts w:ascii="Times New Roman" w:hAnsi="Times New Roman" w:eastAsia="宋体"/>
          <w:sz w:val="21"/>
        </w:rPr>
        <w:t>现有智慧旅游和数字文旅研究通常强调技术应用、平台建设、游客体验、目的地竞争力和数字营销，但山地旅游数字化运营管理还需要进一步回应空间复杂性、生态敏感性、交通约束性和多主体协同性。换言之，本书并不把“智慧旅游”理解为泛化技术集合，而是把它压回山地旅游目的地的运营场景之中，讨论技术如何改变资源配置方式、服务组织方式、风险响应方式和价值创造方式。</w:t>
      </w:r>
    </w:p>
    <w:p>
      <w:r>
        <w:rPr>
          <w:rFonts w:ascii="Times New Roman" w:hAnsi="Times New Roman" w:eastAsia="宋体"/>
          <w:sz w:val="21"/>
        </w:rPr>
        <w:t>本章所说的“数字化运营”不同于单纯的信息化建设。信息化建设偏重系统、设备和平台上线，数字化运营则强调数据进入决策、流程持续改进、组织形成协同和绩效可被评价。二者之间的差别决定了写作重点：本书不满足于介绍云计算、物联网、人工智能和数字孪生等概念，而是追问这些技术在山地旅游中解决了什么运营矛盾，产生了什么治理影响，又带来了哪些新的伦理、隐私、版权和社区利益问题。</w:t>
      </w:r>
    </w:p>
    <w:p>
      <w:r>
        <w:rPr>
          <w:rFonts w:ascii="Times New Roman" w:hAnsi="Times New Roman" w:eastAsia="宋体"/>
          <w:sz w:val="21"/>
        </w:rPr>
        <w:t>从研究边界看，本书主要聚焦目的地层面和景区群层面的运营管理，不把重点放在单个旅游App开发、单一酒店管理系统或一般电商平台规则上。原因在于山地旅游高质量发展的关键矛盾往往不是单一企业内部效率，而是跨景区、跨区域、跨部门、跨平台的协同效率。对安顺和贵州而言，这种边界更具现实意义：山地资源、民族文化、交通接驳、夜间消费、乡村旅游和公共治理必须放在同一运营系统内理解。</w:t>
      </w:r>
    </w:p>
    <w:p>
      <w:pPr>
        <w:pStyle w:val="Heading2"/>
      </w:pPr>
      <w:r>
        <w:t>关键方法</w:t>
      </w:r>
    </w:p>
    <w:p>
      <w:r>
        <w:rPr>
          <w:rFonts w:ascii="Times New Roman" w:hAnsi="Times New Roman" w:eastAsia="宋体"/>
          <w:sz w:val="21"/>
        </w:rPr>
        <w:t>本章主要使用能力矩阵、路线图设计、产教融合、场景实验室。这些方法的共同特点，是把抽象的数字化议题转化为可分析、可执行、可评价的运营工具。方法应用时要避免只画概念图，应进一步明确数据来源、执行主体、评价指标和改进机制。</w:t>
      </w:r>
    </w:p>
    <w:p>
      <w:pPr>
        <w:pStyle w:val="Heading2"/>
      </w:pPr>
      <w:r>
        <w:t>本土案例线索</w:t>
      </w:r>
    </w:p>
    <w:p>
      <w:r>
        <w:rPr>
          <w:rFonts w:ascii="Times New Roman" w:hAnsi="Times New Roman" w:eastAsia="宋体"/>
          <w:sz w:val="21"/>
        </w:rPr>
        <w:t>以安顺学院数字文旅专业建设和贵州世界级旅游目的地建设为背景，提出政产学研协同的山地旅游数字化运营能力提升路径。</w:t>
      </w:r>
    </w:p>
    <w:p>
      <w:r>
        <w:rPr>
          <w:rFonts w:ascii="Times New Roman" w:hAnsi="Times New Roman" w:eastAsia="宋体"/>
          <w:sz w:val="21"/>
        </w:rPr>
        <w:t>该案例的教学和研究价值，不在于证明某一地方已经完成数字化转型，而在于呈现山地旅游数字化运营中的真实张力：景观吸引力与空间容量之间的张力，平台效率与游客隐私之间的张力，商业转化与文化真实性之间的张力，项目建设与持续运营之间的张力，政府治理与市场创新之间的张力。</w:t>
      </w:r>
    </w:p>
    <w:p>
      <w:pPr>
        <w:pStyle w:val="Heading2"/>
      </w:pPr>
      <w:r>
        <w:t>运营模型</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8"/>
              </w:rPr>
              <w:t>模块</w:t>
            </w:r>
          </w:p>
        </w:tc>
        <w:tc>
          <w:tcPr>
            <w:tcW w:type="dxa" w:w="2268"/>
            <w:vAlign w:val="center"/>
          </w:tcPr>
          <w:p>
            <w:pPr>
              <w:jc w:val="center"/>
            </w:pPr>
            <w:r/>
            <w:r>
              <w:rPr>
                <w:rFonts w:ascii="Times New Roman" w:hAnsi="Times New Roman" w:eastAsia="黑体"/>
                <w:b/>
                <w:sz w:val="18"/>
              </w:rPr>
              <w:t>核心任务</w:t>
            </w:r>
          </w:p>
        </w:tc>
        <w:tc>
          <w:tcPr>
            <w:tcW w:type="dxa" w:w="2268"/>
            <w:vAlign w:val="center"/>
          </w:tcPr>
          <w:p>
            <w:pPr>
              <w:jc w:val="center"/>
            </w:pPr>
            <w:r/>
            <w:r>
              <w:rPr>
                <w:rFonts w:ascii="Times New Roman" w:hAnsi="Times New Roman" w:eastAsia="黑体"/>
                <w:b/>
                <w:sz w:val="18"/>
              </w:rPr>
              <w:t>数据来源</w:t>
            </w:r>
          </w:p>
        </w:tc>
        <w:tc>
          <w:tcPr>
            <w:tcW w:type="dxa" w:w="2268"/>
            <w:vAlign w:val="center"/>
          </w:tcPr>
          <w:p>
            <w:pPr>
              <w:jc w:val="center"/>
            </w:pPr>
            <w:r/>
            <w:r>
              <w:rPr>
                <w:rFonts w:ascii="Times New Roman" w:hAnsi="Times New Roman" w:eastAsia="黑体"/>
                <w:b/>
                <w:sz w:val="18"/>
              </w:rPr>
              <w:t>运营输出</w:t>
            </w:r>
          </w:p>
        </w:tc>
      </w:tr>
      <w:tr>
        <w:tc>
          <w:tcPr>
            <w:tcW w:type="dxa" w:w="2268"/>
            <w:vAlign w:val="center"/>
          </w:tcPr>
          <w:p>
            <w:pPr>
              <w:jc w:val="left"/>
            </w:pPr>
            <w:r/>
            <w:r>
              <w:rPr>
                <w:rFonts w:ascii="Times New Roman" w:hAnsi="Times New Roman" w:eastAsia="宋体"/>
                <w:sz w:val="18"/>
              </w:rPr>
              <w:t>感知</w:t>
            </w:r>
          </w:p>
        </w:tc>
        <w:tc>
          <w:tcPr>
            <w:tcW w:type="dxa" w:w="2268"/>
            <w:vAlign w:val="center"/>
          </w:tcPr>
          <w:p>
            <w:pPr>
              <w:jc w:val="left"/>
            </w:pPr>
            <w:r/>
            <w:r>
              <w:rPr>
                <w:rFonts w:ascii="Times New Roman" w:hAnsi="Times New Roman" w:eastAsia="宋体"/>
                <w:sz w:val="18"/>
              </w:rPr>
              <w:t>识别游客、车辆、设施、环境和风险状态</w:t>
            </w:r>
          </w:p>
        </w:tc>
        <w:tc>
          <w:tcPr>
            <w:tcW w:type="dxa" w:w="2268"/>
            <w:vAlign w:val="center"/>
          </w:tcPr>
          <w:p>
            <w:pPr>
              <w:jc w:val="left"/>
            </w:pPr>
            <w:r/>
            <w:r>
              <w:rPr>
                <w:rFonts w:ascii="Times New Roman" w:hAnsi="Times New Roman" w:eastAsia="宋体"/>
                <w:sz w:val="18"/>
              </w:rPr>
              <w:t>票务、交通、视频、评论、传感器</w:t>
            </w:r>
          </w:p>
        </w:tc>
        <w:tc>
          <w:tcPr>
            <w:tcW w:type="dxa" w:w="2268"/>
            <w:vAlign w:val="center"/>
          </w:tcPr>
          <w:p>
            <w:pPr>
              <w:jc w:val="left"/>
            </w:pPr>
            <w:r/>
            <w:r>
              <w:rPr>
                <w:rFonts w:ascii="Times New Roman" w:hAnsi="Times New Roman" w:eastAsia="宋体"/>
                <w:sz w:val="18"/>
              </w:rPr>
              <w:t>运行态势图</w:t>
            </w:r>
          </w:p>
        </w:tc>
      </w:tr>
      <w:tr>
        <w:tc>
          <w:tcPr>
            <w:tcW w:type="dxa" w:w="2268"/>
            <w:vAlign w:val="center"/>
          </w:tcPr>
          <w:p>
            <w:pPr>
              <w:jc w:val="left"/>
            </w:pPr>
            <w:r/>
            <w:r>
              <w:rPr>
                <w:rFonts w:ascii="Times New Roman" w:hAnsi="Times New Roman" w:eastAsia="宋体"/>
                <w:sz w:val="18"/>
              </w:rPr>
              <w:t>预测</w:t>
            </w:r>
          </w:p>
        </w:tc>
        <w:tc>
          <w:tcPr>
            <w:tcW w:type="dxa" w:w="2268"/>
            <w:vAlign w:val="center"/>
          </w:tcPr>
          <w:p>
            <w:pPr>
              <w:jc w:val="left"/>
            </w:pPr>
            <w:r/>
            <w:r>
              <w:rPr>
                <w:rFonts w:ascii="Times New Roman" w:hAnsi="Times New Roman" w:eastAsia="宋体"/>
                <w:sz w:val="18"/>
              </w:rPr>
              <w:t>判断客流、消费、风险和服务需求变化</w:t>
            </w:r>
          </w:p>
        </w:tc>
        <w:tc>
          <w:tcPr>
            <w:tcW w:type="dxa" w:w="2268"/>
            <w:vAlign w:val="center"/>
          </w:tcPr>
          <w:p>
            <w:pPr>
              <w:jc w:val="left"/>
            </w:pPr>
            <w:r/>
            <w:r>
              <w:rPr>
                <w:rFonts w:ascii="Times New Roman" w:hAnsi="Times New Roman" w:eastAsia="宋体"/>
                <w:sz w:val="18"/>
              </w:rPr>
              <w:t>历史数据、节假日、天气、活动、舆情</w:t>
            </w:r>
          </w:p>
        </w:tc>
        <w:tc>
          <w:tcPr>
            <w:tcW w:type="dxa" w:w="2268"/>
            <w:vAlign w:val="center"/>
          </w:tcPr>
          <w:p>
            <w:pPr>
              <w:jc w:val="left"/>
            </w:pPr>
            <w:r/>
            <w:r>
              <w:rPr>
                <w:rFonts w:ascii="Times New Roman" w:hAnsi="Times New Roman" w:eastAsia="宋体"/>
                <w:sz w:val="18"/>
              </w:rPr>
              <w:t>预测报告和预警阈值</w:t>
            </w:r>
          </w:p>
        </w:tc>
      </w:tr>
      <w:tr>
        <w:tc>
          <w:tcPr>
            <w:tcW w:type="dxa" w:w="2268"/>
            <w:vAlign w:val="center"/>
          </w:tcPr>
          <w:p>
            <w:pPr>
              <w:jc w:val="left"/>
            </w:pPr>
            <w:r/>
            <w:r>
              <w:rPr>
                <w:rFonts w:ascii="Times New Roman" w:hAnsi="Times New Roman" w:eastAsia="宋体"/>
                <w:sz w:val="18"/>
              </w:rPr>
              <w:t>调度</w:t>
            </w:r>
          </w:p>
        </w:tc>
        <w:tc>
          <w:tcPr>
            <w:tcW w:type="dxa" w:w="2268"/>
            <w:vAlign w:val="center"/>
          </w:tcPr>
          <w:p>
            <w:pPr>
              <w:jc w:val="left"/>
            </w:pPr>
            <w:r/>
            <w:r>
              <w:rPr>
                <w:rFonts w:ascii="Times New Roman" w:hAnsi="Times New Roman" w:eastAsia="宋体"/>
                <w:sz w:val="18"/>
              </w:rPr>
              <w:t>配置人力、交通、入口、线路和服务资源</w:t>
            </w:r>
          </w:p>
        </w:tc>
        <w:tc>
          <w:tcPr>
            <w:tcW w:type="dxa" w:w="2268"/>
            <w:vAlign w:val="center"/>
          </w:tcPr>
          <w:p>
            <w:pPr>
              <w:jc w:val="left"/>
            </w:pPr>
            <w:r/>
            <w:r>
              <w:rPr>
                <w:rFonts w:ascii="Times New Roman" w:hAnsi="Times New Roman" w:eastAsia="宋体"/>
                <w:sz w:val="18"/>
              </w:rPr>
              <w:t>预约、实时客流、设施状态、人员排班</w:t>
            </w:r>
          </w:p>
        </w:tc>
        <w:tc>
          <w:tcPr>
            <w:tcW w:type="dxa" w:w="2268"/>
            <w:vAlign w:val="center"/>
          </w:tcPr>
          <w:p>
            <w:pPr>
              <w:jc w:val="left"/>
            </w:pPr>
            <w:r/>
            <w:r>
              <w:rPr>
                <w:rFonts w:ascii="Times New Roman" w:hAnsi="Times New Roman" w:eastAsia="宋体"/>
                <w:sz w:val="18"/>
              </w:rPr>
              <w:t>调度方案</w:t>
            </w:r>
          </w:p>
        </w:tc>
      </w:tr>
      <w:tr>
        <w:tc>
          <w:tcPr>
            <w:tcW w:type="dxa" w:w="2268"/>
            <w:vAlign w:val="center"/>
          </w:tcPr>
          <w:p>
            <w:pPr>
              <w:jc w:val="left"/>
            </w:pPr>
            <w:r/>
            <w:r>
              <w:rPr>
                <w:rFonts w:ascii="Times New Roman" w:hAnsi="Times New Roman" w:eastAsia="宋体"/>
                <w:sz w:val="18"/>
              </w:rPr>
              <w:t>服务</w:t>
            </w:r>
          </w:p>
        </w:tc>
        <w:tc>
          <w:tcPr>
            <w:tcW w:type="dxa" w:w="2268"/>
            <w:vAlign w:val="center"/>
          </w:tcPr>
          <w:p>
            <w:pPr>
              <w:jc w:val="left"/>
            </w:pPr>
            <w:r/>
            <w:r>
              <w:rPr>
                <w:rFonts w:ascii="Times New Roman" w:hAnsi="Times New Roman" w:eastAsia="宋体"/>
                <w:sz w:val="18"/>
              </w:rPr>
              <w:t>改善行前、行中、行后数字触点体验</w:t>
            </w:r>
          </w:p>
        </w:tc>
        <w:tc>
          <w:tcPr>
            <w:tcW w:type="dxa" w:w="2268"/>
            <w:vAlign w:val="center"/>
          </w:tcPr>
          <w:p>
            <w:pPr>
              <w:jc w:val="left"/>
            </w:pPr>
            <w:r/>
            <w:r>
              <w:rPr>
                <w:rFonts w:ascii="Times New Roman" w:hAnsi="Times New Roman" w:eastAsia="宋体"/>
                <w:sz w:val="18"/>
              </w:rPr>
              <w:t>搜索、导航、导览、客服、投诉、评价</w:t>
            </w:r>
          </w:p>
        </w:tc>
        <w:tc>
          <w:tcPr>
            <w:tcW w:type="dxa" w:w="2268"/>
            <w:vAlign w:val="center"/>
          </w:tcPr>
          <w:p>
            <w:pPr>
              <w:jc w:val="left"/>
            </w:pPr>
            <w:r/>
            <w:r>
              <w:rPr>
                <w:rFonts w:ascii="Times New Roman" w:hAnsi="Times New Roman" w:eastAsia="宋体"/>
                <w:sz w:val="18"/>
              </w:rPr>
              <w:t>服务蓝图</w:t>
            </w:r>
          </w:p>
        </w:tc>
      </w:tr>
      <w:tr>
        <w:tc>
          <w:tcPr>
            <w:tcW w:type="dxa" w:w="2268"/>
            <w:vAlign w:val="center"/>
          </w:tcPr>
          <w:p>
            <w:pPr>
              <w:jc w:val="left"/>
            </w:pPr>
            <w:r/>
            <w:r>
              <w:rPr>
                <w:rFonts w:ascii="Times New Roman" w:hAnsi="Times New Roman" w:eastAsia="宋体"/>
                <w:sz w:val="18"/>
              </w:rPr>
              <w:t>评价</w:t>
            </w:r>
          </w:p>
        </w:tc>
        <w:tc>
          <w:tcPr>
            <w:tcW w:type="dxa" w:w="2268"/>
            <w:vAlign w:val="center"/>
          </w:tcPr>
          <w:p>
            <w:pPr>
              <w:jc w:val="left"/>
            </w:pPr>
            <w:r/>
            <w:r>
              <w:rPr>
                <w:rFonts w:ascii="Times New Roman" w:hAnsi="Times New Roman" w:eastAsia="宋体"/>
                <w:sz w:val="18"/>
              </w:rPr>
              <w:t>判断数字化项目是否产生运营价值</w:t>
            </w:r>
          </w:p>
        </w:tc>
        <w:tc>
          <w:tcPr>
            <w:tcW w:type="dxa" w:w="2268"/>
            <w:vAlign w:val="center"/>
          </w:tcPr>
          <w:p>
            <w:pPr>
              <w:jc w:val="left"/>
            </w:pPr>
            <w:r/>
            <w:r>
              <w:rPr>
                <w:rFonts w:ascii="Times New Roman" w:hAnsi="Times New Roman" w:eastAsia="宋体"/>
                <w:sz w:val="18"/>
              </w:rPr>
              <w:t>满意度、转化率、等待时间、安全事件、收益</w:t>
            </w:r>
          </w:p>
        </w:tc>
        <w:tc>
          <w:tcPr>
            <w:tcW w:type="dxa" w:w="2268"/>
            <w:vAlign w:val="center"/>
          </w:tcPr>
          <w:p>
            <w:pPr>
              <w:jc w:val="left"/>
            </w:pPr>
            <w:r/>
            <w:r>
              <w:rPr>
                <w:rFonts w:ascii="Times New Roman" w:hAnsi="Times New Roman" w:eastAsia="宋体"/>
                <w:sz w:val="18"/>
              </w:rPr>
              <w:t>绩效仪表盘</w:t>
            </w:r>
          </w:p>
        </w:tc>
      </w:tr>
    </w:tbl>
    <w:p/>
    <w:p>
      <w:pPr>
        <w:pStyle w:val="Heading2"/>
      </w:pPr>
      <w:r>
        <w:t>机制解释</w:t>
      </w:r>
    </w:p>
    <w:p>
      <w:r>
        <w:rPr>
          <w:rFonts w:ascii="Times New Roman" w:hAnsi="Times New Roman" w:eastAsia="宋体"/>
          <w:sz w:val="21"/>
        </w:rPr>
        <w:t>山地旅游数字化运营的核心机制可以概括为“数据牵引、流程重构、平台协同、价值反馈”。数据牵引意味着目的地不再完全依靠经验判断，而是以游客行为、设施状态、天气变化、交通压力和服务反馈作为运营输入。流程重构意味着数字化不是把原有线下流程照搬到线上，而是重新设计预约、入园、导览、消费、投诉、调度和复盘的节点关系。平台协同意味着不同主体不再只在行政会议或临时协调中交换信息，而是通过标准、接口、权限和规则形成持续协作。价值反馈意味着每一次运营动作都应回到绩效评价，包括等待时间是否缩短、游客满意度是否提升、二次消费是否增加、风险事件是否减少、文化传播是否更准确、社区是否获得合理收益。</w:t>
      </w:r>
    </w:p>
    <w:p>
      <w:r>
        <w:rPr>
          <w:rFonts w:ascii="Times New Roman" w:hAnsi="Times New Roman" w:eastAsia="宋体"/>
          <w:sz w:val="21"/>
        </w:rPr>
        <w:t>该机制也解释了为什么许多数字化项目会出现“建而不用、用而不深、深而不久”的问题。如果缺少数据治理，平台只能成为展示窗口；如果缺少流程重构，系统只能重复原有低效流程；如果缺少组织协同，部门仍然各自为战；如果缺少绩效反馈，项目无法证明自身价值，也难以获得持续投入。因此，本书后续章节始终把技术工具放在运营机制之中讨论。</w:t>
      </w:r>
    </w:p>
    <w:p>
      <w:pPr>
        <w:pStyle w:val="Heading2"/>
      </w:pPr>
      <w:r>
        <w:t>图表与模型建议</w:t>
      </w:r>
    </w:p>
    <w:p>
      <w:r>
        <w:rPr>
          <w:rFonts w:ascii="Times New Roman" w:hAnsi="Times New Roman" w:eastAsia="宋体"/>
          <w:sz w:val="21"/>
        </w:rPr>
        <w:t>本章后续定稿宜配置一张机制模型图和一张运营流程图。机制模型图可命名为“山地旅游数字化运营管理机制模型”，横向展示数据资源化、平台协同、场景应用和价值创造，纵向展示游客体验、运营效率、风险治理、文化活化和生态保护五类绩效。运营流程图可命名为“山地旅游目的地数字化运营闭环”，从问题识别开始，依次连接数据采集、数据治理、预测分析、运营调度、服务交付、绩效评价和持续改进。</w:t>
      </w:r>
    </w:p>
    <w:p>
      <w:r>
        <w:rPr>
          <w:rFonts w:ascii="Times New Roman" w:hAnsi="Times New Roman" w:eastAsia="宋体"/>
          <w:sz w:val="21"/>
        </w:rPr>
        <w:t>图表使用时应注意证据边界。若模型来自理论推演，应标明“作者构建”；若使用黄果树、安顺或贵州平台材料，应标明资料来源和授权状态；若涉及客流、收入、满意度等数字，必须区分真实统计数据、公开报道数据、项目内部数据和教学模拟数据。</w:t>
      </w:r>
    </w:p>
    <w:p>
      <w:pPr>
        <w:pStyle w:val="Heading2"/>
      </w:pPr>
      <w:r>
        <w:t>讨论</w:t>
      </w:r>
    </w:p>
    <w:p>
      <w:r>
        <w:rPr>
          <w:rFonts w:ascii="Times New Roman" w:hAnsi="Times New Roman" w:eastAsia="宋体"/>
          <w:sz w:val="21"/>
        </w:rPr>
        <w:t>山地旅游数字化运营管理需要避免三种偏差。第一是设备中心主义，把摄像头、闸机、屏幕和平台数量当成数字化水平。第二是流量中心主义，只关注曝光和门票转化，忽视文化、生态、社区和安全。第三是一次性项目思维，重建设轻运营，导致系统上线后无人维护、数据无人治理、流程无人改进。</w:t>
      </w:r>
    </w:p>
    <w:p>
      <w:r>
        <w:rPr>
          <w:rFonts w:ascii="Times New Roman" w:hAnsi="Times New Roman" w:eastAsia="宋体"/>
          <w:sz w:val="21"/>
        </w:rPr>
        <w:t>更合理的路径，是把数字化看作目的地运营能力建设。它要求管理者能够提出问题、定义数据、重构流程、组织协同、评价绩效，并在实践中持续学习。对于贵州和安顺等山地旅游目的地而言，数字化运营既是产业升级手段，也是地方高校服务区域发展的重要切入点。</w:t>
      </w:r>
    </w:p>
    <w:p>
      <w:pPr>
        <w:pStyle w:val="Heading2"/>
      </w:pPr>
      <w:r>
        <w:t>管理启示</w:t>
      </w:r>
    </w:p>
    <w:p>
      <w:r>
        <w:rPr>
          <w:rFonts w:ascii="Times New Roman" w:hAnsi="Times New Roman" w:eastAsia="宋体"/>
          <w:sz w:val="21"/>
        </w:rPr>
        <w:t>第一，山地旅游目的地应先做运营诊断，再做技术方案。没有清楚的问题清单，技术采购容易变成堆砌设备。第二，应把数据治理放在项目早期，而不是等系统建成后再补标准。第三，应把游客体验和安全韧性作为硬指标，而不只考核系统上线和平台访问。第四，应把地方文化和社区利益纳入数字化运营设计，避免把文化资源处理成单向展示素材。第五，地方高校可以通过课程项目、案例研究、学生实训和横向课题参与目的地数字化运营，把人才培养与地方服务结合起来。</w:t>
      </w:r>
    </w:p>
    <w:p>
      <w:pPr>
        <w:pStyle w:val="Heading2"/>
      </w:pPr>
      <w:r>
        <w:t>本章小结</w:t>
      </w:r>
    </w:p>
    <w:p>
      <w:r>
        <w:rPr>
          <w:rFonts w:ascii="Times New Roman" w:hAnsi="Times New Roman" w:eastAsia="宋体"/>
          <w:sz w:val="21"/>
        </w:rPr>
        <w:t>本章围绕“面向数据要素市场化、人工智能和地方高质量发展，山地旅游运营将走向何处？”展开，提出山地旅游数字化运营应从技术应用转向运营机制建设。山地旅游目的地的特殊性决定了数字化不能照搬城市景区或平台经济经验，而要围绕空间、生态、文化、社区、交通和安全等约束建立综合运营体系。</w:t>
      </w:r>
    </w:p>
    <w:p>
      <w:pPr>
        <w:pStyle w:val="Heading2"/>
      </w:pPr>
      <w:r>
        <w:t>待核验证据</w:t>
      </w:r>
    </w:p>
    <w:p>
      <w:pPr>
        <w:ind w:left="420"/>
      </w:pPr>
      <w:r>
        <w:rPr>
          <w:rFonts w:ascii="Times New Roman" w:hAnsi="Times New Roman" w:eastAsia="宋体"/>
          <w:sz w:val="21"/>
        </w:rPr>
        <w:t>与地方项目相关的政策、平台名称、项目成效和运营数据，需要使用正式文件或授权材料核验。</w:t>
      </w:r>
    </w:p>
    <w:p>
      <w:pPr>
        <w:ind w:left="420"/>
      </w:pPr>
      <w:r>
        <w:rPr>
          <w:rFonts w:ascii="Times New Roman" w:hAnsi="Times New Roman" w:eastAsia="宋体"/>
          <w:sz w:val="21"/>
        </w:rPr>
        <w:t>涉及黄果树、安顺、贵州平台和地方企业的案例描述，目前作为写作线索和分析框架使用，不作为已确认统计事实。</w:t>
      </w:r>
    </w:p>
    <w:p>
      <w:pPr>
        <w:ind w:left="420"/>
      </w:pPr>
      <w:r>
        <w:rPr>
          <w:rFonts w:ascii="Times New Roman" w:hAnsi="Times New Roman" w:eastAsia="宋体"/>
          <w:sz w:val="21"/>
        </w:rPr>
        <w:t>后续正式出版前应补充脚注、参考文献和案例授权说明。</w:t>
      </w:r>
    </w:p>
    <w:sectPr w:rsidR="00FC693F" w:rsidRPr="0006063C" w:rsidSect="00034616">
      <w:pgSz w:w="11906" w:h="16838"/>
      <w:pgMar w:top="1417" w:right="1361" w:bottom="1304" w:left="1474"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第 </w:t>
      <w:fldChar w:fldCharType="begin"/>
      <w:instrText xml:space="preserve">PAGE</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color w:val="646464"/>
        <w:sz w:val="18"/>
      </w:rPr>
      <w:t>山地旅游数字化运营管理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ind w:firstLine="4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黑体"/>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黑体"/>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楷体"/>
      <w:b/>
      <w:bCs/>
      <w:color w:val="4040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黑体"/>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山地旅游数字化运营管理（结构图技术路线增强版）</dc:title>
  <dc:subject>增补全文结构图与技术路线图</dc:subject>
  <dc:creator>python-docx</dc:creator>
  <cp:keywords/>
  <dc:description>基于IMA原稿制作的非覆盖副本；未改变原始正文与表格。</dc:description>
  <cp:lastModifiedBy/>
  <cp:revision>1</cp:revision>
  <dcterms:created xsi:type="dcterms:W3CDTF">2013-12-23T23:15:00Z</dcterms:created>
  <dcterms:modified xsi:type="dcterms:W3CDTF">2026-08-03T12:32:02Z</dcterms:modified>
  <cp:category/>
</cp:coreProperties>
</file>