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>
      <w:pPr>
        <w:jc w:val="center"/>
      </w:pPr>
      <w:r>
        <w:rPr>
          <w:rFonts w:ascii="Times New Roman" w:hAnsi="Times New Roman" w:eastAsia="黑体"/>
          <w:b/>
          <w:color w:val="1F4E79"/>
          <w:sz w:val="56"/>
        </w:rPr>
        <w:t>文化遗产数字化保护与利用</w:t>
      </w:r>
    </w:p>
    <w:p>
      <w:pPr>
        <w:jc w:val="center"/>
      </w:pPr>
      <w:r>
        <w:rPr>
          <w:rFonts w:ascii="Times New Roman" w:hAnsi="Times New Roman" w:eastAsia="楷体"/>
          <w:color w:val="5A5A5A"/>
          <w:sz w:val="30"/>
        </w:rPr>
        <w:t>教材初稿·出版格式稿</w:t>
      </w:r>
    </w:p>
    <w:p/>
    <w:p/>
    <w:p/>
    <w:p/>
    <w:p/>
    <w:p/>
    <w:p/>
    <w:p/>
    <w:p/>
    <w:p/>
    <w:p>
      <w:pPr>
        <w:jc w:val="center"/>
      </w:pPr>
      <w:r>
        <w:rPr>
          <w:rFonts w:ascii="Times New Roman" w:hAnsi="Times New Roman" w:eastAsia="宋体"/>
          <w:sz w:val="24"/>
        </w:rPr>
        <w:t>安顺学院旅游管理学院 数智文旅教材编写项目</w:t>
      </w:r>
    </w:p>
    <w:p>
      <w:pPr>
        <w:jc w:val="center"/>
      </w:pPr>
      <w:r>
        <w:rPr>
          <w:rFonts w:ascii="Times New Roman" w:hAnsi="Times New Roman" w:eastAsia="宋体"/>
          <w:sz w:val="24"/>
        </w:rPr>
        <w:t>2026年7月</w:t>
      </w:r>
    </w:p>
    <w:p>
      <w:pPr>
        <w:sectPr>
          <w:headerReference w:type="default" r:id="rId9"/>
          <w:footerReference w:type="default" r:id="rId10"/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  <w:jc w:val="center"/>
      </w:pPr>
      <w:r>
        <w:t>目录</w:t>
      </w:r>
    </w:p>
    <w:p>
      <w:pPr>
        <w:jc w:val="center"/>
      </w:pPr>
      <w:r>
        <w:rPr>
          <w:rFonts w:ascii="Times New Roman" w:hAnsi="Times New Roman" w:eastAsia="楷体"/>
          <w:color w:val="787878"/>
          <w:sz w:val="20"/>
        </w:rPr>
        <w:t>提示：在 Word 中右键此处目录区域，选择“更新域”，即可生成正式页码目录。</w:t>
      </w:r>
    </w:p>
    <w:p>
      <w:r>
        <w:fldChar w:fldCharType="begin"/>
        <w:instrText xml:space="preserve">TOC \o "1-3" \h \z \u</w:instrText>
        <w:fldChar w:fldCharType="separate"/>
        <w:t>目录将在 Word 中更新生成。</w:t>
        <w:fldChar w:fldCharType="end"/>
      </w:r>
    </w:p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文化遗产数字化保护与利用</w:t>
      </w:r>
    </w:p>
    <w:p>
      <w:pPr>
        <w:pStyle w:val="Heading2"/>
      </w:pPr>
      <w:r>
        <w:t>前言</w:t>
      </w:r>
    </w:p>
    <w:p>
      <w:r>
        <w:rPr>
          <w:rFonts w:ascii="Times New Roman" w:hAnsi="Times New Roman" w:eastAsia="宋体"/>
          <w:sz w:val="21"/>
        </w:rPr>
        <w:t>文化遗产是地方历史记忆、文化认同和旅游吸引力的重要载体。数字技术的发展，为文化遗产的调查记录、价值阐释、风险监测、活化利用和公共传播提供了新的工具。本书面向高等院校旅游管理、文化产业管理、数字文旅、文物与博物馆学及相关专业，围绕“保护优先、数字赋能、合理利用、服务地方”的主线，构建文化遗产数字化保护与利用的知识体系。</w:t>
      </w:r>
    </w:p>
    <w:p>
      <w:r>
        <w:rPr>
          <w:rFonts w:ascii="Times New Roman" w:hAnsi="Times New Roman" w:eastAsia="宋体"/>
          <w:sz w:val="21"/>
        </w:rPr>
        <w:t>本书坚持旅游管理与信息技术、文化遗产保护、公共治理和地方实践相结合。案例重点联系安顺屯堡文化、黄果树及周边山地旅游资源、贵州民族文化与非遗、文博场馆、乡村遗产和数字文旅专业建设。全书各章均设置学习目标、思政园地、案例导入、正文、章节案例、本章小结、课后练习与实践、评价量规和证据提示，便于课堂教学、课程项目和学生自学。</w:t>
      </w:r>
    </w:p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全书视觉导读</w:t>
      </w:r>
    </w:p>
    <w:p>
      <w:pPr>
        <w:spacing w:after="160"/>
      </w:pPr>
      <w:r>
        <w:t>下图依据本书现有章节提取，呈现全书的知识结构与递进逻辑；技术路线图进一步说明从问题识别到治理迭代的实施闭环。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52000" cy="3176406"/>
            <wp:docPr id="1" name="01_全文结构图" title="01_全文结构图" descr="文化遗产数字化保护与利用的全文章节结构图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全文结构图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31764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hAnsi="宋体"/>
          <w:color w:val="595959"/>
          <w:sz w:val="18"/>
        </w:rPr>
        <w:t>图0-1  全文结构图（依据原稿章节绘制）</w:t>
      </w:r>
    </w:p>
    <w:p>
      <w:pPr>
        <w:pStyle w:val="Heading1"/>
      </w:pPr>
      <w:r>
        <w:t>第1章 文化遗产数字化保护与利用导论</w:t>
      </w:r>
    </w:p>
    <w:p>
      <w:pPr>
        <w:pStyle w:val="Heading2"/>
      </w:pPr>
      <w:r>
        <w:t>学习目标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理解文化遗产、有形文化遗产、非物质文化遗产、数字化保护、数字化利用和数字文旅等基本概念。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掌握文化遗产数字化保护与利用的基本逻辑：调查记录、价值识别、数字采集、数据治理、展示传播、活化运营和风险管理。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能够结合安顺屯堡文化、贵州民族文化、传统村落和景区文旅资源，分析数字化保护与利用的现实意义。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4. 形成保护优先、合理利用、文化尊重和公共共享的价值观。</w:t>
      </w:r>
    </w:p>
    <w:p>
      <w:pPr>
        <w:pStyle w:val="Heading2"/>
      </w:pPr>
      <w:r>
        <w:t>思政园地：在文化遗产保护中坚定文化自信</w:t>
      </w:r>
    </w:p>
    <w:p>
      <w:r>
        <w:rPr>
          <w:rFonts w:ascii="Times New Roman" w:hAnsi="Times New Roman" w:eastAsia="宋体"/>
          <w:sz w:val="21"/>
        </w:rPr>
        <w:t>文化遗产承载着一个地方的历史根脉、生活智慧和精神标识。数字化不是把文化遗产简单变成图片、模型或流量素材，而是用现代技术更好地记录历史、阐释价值、服务公众和传承文化。对于地方高校学生而言，学习文化遗产数字化保护与利用，是把专业能力转化为服务地方文化传承、旅游高质量发展和乡村振兴的具体路径。</w:t>
      </w:r>
    </w:p>
    <w:p>
      <w:pPr>
        <w:pStyle w:val="Heading2"/>
      </w:pPr>
      <w:r>
        <w:t>案例导入：屯堡文化为何需要数字化保护</w:t>
      </w:r>
    </w:p>
    <w:p>
      <w:r>
        <w:rPr>
          <w:rFonts w:ascii="Times New Roman" w:hAnsi="Times New Roman" w:eastAsia="宋体"/>
          <w:sz w:val="21"/>
        </w:rPr>
        <w:t>屯堡文化具有建筑、服饰、语言、仪式、饮食、民俗和社区生活等综合特征。随着城镇化、人口流动和旅游开发推进，屯堡文化既面临传播机遇，也面临符号化、浅表化和原真性弱化风险。数字化保护可以通过影像记录、三维建模、口述史采集、资源目录和数字展陈保存文化信息；数字化利用则可以通过研学、导览、文创和沉浸式体验帮助公众理解其文化价值。</w:t>
      </w:r>
    </w:p>
    <w:p>
      <w:pPr>
        <w:pStyle w:val="Heading2"/>
      </w:pPr>
      <w:r>
        <w:t>1.1 文化遗产的概念与类型</w:t>
      </w:r>
    </w:p>
    <w:p>
      <w:r>
        <w:rPr>
          <w:rFonts w:ascii="Times New Roman" w:hAnsi="Times New Roman" w:eastAsia="宋体"/>
          <w:sz w:val="21"/>
        </w:rPr>
        <w:t>文化遗产包括有形文化遗产和非物质文化遗产。有形文化遗产包括古建筑、遗址、文物、传统村落、历史街区和文化景观等；非物质文化遗产包括传统技艺、民俗、节庆、表演艺术、口头传统和传统知识等。文化遗产的价值不仅在物质形态，也在历史记忆、社会关系、生活方式和地方认同。</w:t>
      </w:r>
    </w:p>
    <w:p>
      <w:pPr>
        <w:pStyle w:val="Heading2"/>
      </w:pPr>
      <w:r>
        <w:t>1.2 数字化保护与数字化利用</w:t>
      </w:r>
    </w:p>
    <w:p>
      <w:r>
        <w:rPr>
          <w:rFonts w:ascii="Times New Roman" w:hAnsi="Times New Roman" w:eastAsia="宋体"/>
          <w:sz w:val="21"/>
        </w:rPr>
        <w:t>数字化保护强调通过数字技术对文化遗产进行采集、记录、存储、管理、监测和修复辅助。数字化利用强调在保护底线基础上，通过数字展陈、教育传播、文旅体验、文创开发和公共服务实现遗产价值转化。二者的关系是保护优先、利用促进、相互支撑。</w:t>
      </w:r>
    </w:p>
    <w:p>
      <w:pPr>
        <w:pStyle w:val="Heading2"/>
      </w:pPr>
      <w:r>
        <w:t>1.3 基本框架</w:t>
      </w:r>
    </w:p>
    <w:p>
      <w:r>
        <w:rPr>
          <w:rFonts w:ascii="Times New Roman" w:hAnsi="Times New Roman" w:eastAsia="宋体"/>
          <w:sz w:val="21"/>
        </w:rPr>
        <w:t>本书采用“价值识别—数字采集—数据治理—保护监测—展示传播—活化利用—评估改进”的框架。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环节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核心任务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典型方法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教学成果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价值识别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明确遗产价值和保护对象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文献、访谈、田野调查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价值说明卡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数字采集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形成数字记录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摄影、扫描、建模、录音录像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数字素材包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数据治理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建立可用数据资源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元数据、分类、版权、权限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资源目录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保护监测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识别风险和变化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GIS、传感器、巡检、影像比对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风险清单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展示传播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面向公众阐释价值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数字展陈、导览、AIGC辅助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展示方案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活化利用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转化为产品和服务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研学、文创、演艺、线路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利用策划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评估改进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判断效果和风险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指标评价、反馈、复盘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评估报告</w:t>
            </w:r>
          </w:p>
        </w:tc>
      </w:tr>
    </w:tbl>
    <w:p/>
    <w:p>
      <w:pPr>
        <w:pStyle w:val="Heading2"/>
      </w:pPr>
      <w:r>
        <w:t>章节案例</w:t>
      </w:r>
    </w:p>
    <w:p>
      <w:r>
        <w:rPr>
          <w:rFonts w:ascii="Times New Roman" w:hAnsi="Times New Roman" w:eastAsia="宋体"/>
          <w:sz w:val="21"/>
        </w:rPr>
        <w:t>案例名称：屯堡文化数字化保护与研学利用。学生需识别屯堡文化的核心遗产要素，设计数字采集清单，提出研学导览和数字展陈方案，并说明如何避免文化浅表化。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  <w:sz w:val="21"/>
        </w:rPr>
        <w:t>文化遗产数字化保护与利用的关键，是在尊重遗产价值和社区主体性的基础上，用数字技术提升记录、保护、传播和合理利用能力。</w:t>
      </w:r>
    </w:p>
    <w:p>
      <w:pPr>
        <w:pStyle w:val="Heading2"/>
      </w:pPr>
      <w:r>
        <w:t>课后练习与实践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名词解释：文化遗产、非物质文化遗产、数字化保护、数字化利用。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简答题：为什么文化遗产数字化利用必须坚持保护优先？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实践题：选择一个本地文化遗产对象，制作价值识别卡。</w:t>
      </w:r>
    </w:p>
    <w:p>
      <w:pPr>
        <w:pStyle w:val="Heading2"/>
      </w:pPr>
      <w:r>
        <w:t>评价量规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优秀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合格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需改进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概念理解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能准确区分保护与利用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基本理解概念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概念混淆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价值识别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能说明历史、艺术、社会和旅游价值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能说明部分价值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只做表面描述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本土结合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能结合安顺或贵州案例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有案例但分析浅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缺少地方情境</w:t>
            </w:r>
          </w:p>
        </w:tc>
      </w:tr>
    </w:tbl>
    <w:p/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52000" cy="3176406"/>
            <wp:docPr id="2" name="02_技术路线图" title="02_技术路线图" descr="文化遗产数字化保护与利用从问题识别到评价迭代的技术路线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技术路线图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31764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hAnsi="宋体"/>
          <w:color w:val="595959"/>
          <w:sz w:val="18"/>
        </w:rPr>
        <w:t>图0-2  技术路线图（作者绘制）</w:t>
      </w:r>
    </w:p>
    <w:p>
      <w:pPr>
        <w:pStyle w:val="Heading1"/>
      </w:pPr>
      <w:r>
        <w:t>第2章 文化遗产数字化采集技术</w:t>
      </w:r>
    </w:p>
    <w:p>
      <w:pPr>
        <w:pStyle w:val="Heading2"/>
      </w:pPr>
      <w:r>
        <w:t>学习目标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理解摄影测量、三维扫描、全景影像、无人机航测、音视频采集和文本数字化等技术。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掌握不同遗产类型的数字采集方法选择。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能够设计数字采集方案和采集质量控制表。</w:t>
      </w:r>
    </w:p>
    <w:p>
      <w:pPr>
        <w:pStyle w:val="Heading2"/>
      </w:pPr>
      <w:r>
        <w:t>思政园地</w:t>
      </w:r>
    </w:p>
    <w:p>
      <w:r>
        <w:rPr>
          <w:rFonts w:ascii="Times New Roman" w:hAnsi="Times New Roman" w:eastAsia="宋体"/>
          <w:sz w:val="21"/>
        </w:rPr>
        <w:t>数字采集是文化遗产保护的基础工作。采集者必须尊重遗产现场、尊重社区习俗、尊重知识产权，不因追求素材效果破坏遗产环境或冒犯文化主体。</w:t>
      </w:r>
    </w:p>
    <w:p>
      <w:pPr>
        <w:pStyle w:val="Heading2"/>
      </w:pPr>
      <w:r>
        <w:t>案例导入：传统村落的数字采集任务</w:t>
      </w:r>
    </w:p>
    <w:p>
      <w:r>
        <w:rPr>
          <w:rFonts w:ascii="Times New Roman" w:hAnsi="Times New Roman" w:eastAsia="宋体"/>
          <w:sz w:val="21"/>
        </w:rPr>
        <w:t>传统村落数字化不仅要记录建筑外观，还要记录空间格局、生活场景、口述记忆、传统技艺和环境关系。单一拍照无法完整表达村落价值，需要多技术协同。</w:t>
      </w:r>
    </w:p>
    <w:p>
      <w:pPr>
        <w:pStyle w:val="Heading2"/>
      </w:pPr>
      <w:r>
        <w:t>2.1 采集对象与采集精度</w:t>
      </w:r>
    </w:p>
    <w:p>
      <w:r>
        <w:rPr>
          <w:rFonts w:ascii="Times New Roman" w:hAnsi="Times New Roman" w:eastAsia="宋体"/>
          <w:sz w:val="21"/>
        </w:rPr>
        <w:t>有形遗产适合采用高清摄影、无人机航测、三维扫描和GIS定位；非遗适合采用音视频记录、访谈、流程图、动作捕捉和文本整理。采集精度应根据保护、研究、展示和利用目标确定。</w:t>
      </w:r>
    </w:p>
    <w:p>
      <w:pPr>
        <w:pStyle w:val="Heading2"/>
      </w:pPr>
      <w:r>
        <w:t>2.2 三维建模与空间记录</w:t>
      </w:r>
    </w:p>
    <w:p>
      <w:r>
        <w:rPr>
          <w:rFonts w:ascii="Times New Roman" w:hAnsi="Times New Roman" w:eastAsia="宋体"/>
          <w:sz w:val="21"/>
        </w:rPr>
        <w:t>三维建模可用于古建筑、文物、遗址和文化景观记录。旅游管理学生不必成为建模工程师，但要理解采集点位、光照、尺度、纹理、文件格式和后期维护对成果质量的影响。</w:t>
      </w:r>
    </w:p>
    <w:p>
      <w:pPr>
        <w:pStyle w:val="Heading2"/>
      </w:pPr>
      <w:r>
        <w:t>2.3 非遗音视频采集</w:t>
      </w:r>
    </w:p>
    <w:p>
      <w:r>
        <w:rPr>
          <w:rFonts w:ascii="Times New Roman" w:hAnsi="Times New Roman" w:eastAsia="宋体"/>
          <w:sz w:val="21"/>
        </w:rPr>
        <w:t>非遗采集要记录人、技艺、工具、环境、流程、语言和意义解释。采集前应获得授权，采集后应标注时间、地点、人物、内容、版权和使用范围。</w:t>
      </w:r>
    </w:p>
    <w:p>
      <w:pPr>
        <w:pStyle w:val="Heading2"/>
      </w:pPr>
      <w:r>
        <w:t>2.4 采集质量控制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检查项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质量要求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常见问题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改进措施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图像清晰度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无明显模糊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光线不足、抖动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补光、三脚架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空间完整性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关键面和节点完整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漏拍细节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采集清单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元数据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时间地点人物完整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文件名混乱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统一命名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授权记录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授权范围清楚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口头授权无记录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书面或录音确认</w:t>
            </w:r>
          </w:p>
        </w:tc>
      </w:tr>
    </w:tbl>
    <w:p/>
    <w:p>
      <w:pPr>
        <w:pStyle w:val="Heading2"/>
      </w:pPr>
      <w:r>
        <w:t>章节案例</w:t>
      </w:r>
    </w:p>
    <w:p>
      <w:r>
        <w:rPr>
          <w:rFonts w:ascii="Times New Roman" w:hAnsi="Times New Roman" w:eastAsia="宋体"/>
          <w:sz w:val="21"/>
        </w:rPr>
        <w:t>为屯堡建筑或非遗技艺设计数字采集方案，列出设备、流程、人员分工、授权方式和质量检查表。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  <w:sz w:val="21"/>
        </w:rPr>
        <w:t>数字采集的价值不只在技术精度，更在完整、规范、可追溯和可持续使用。</w:t>
      </w:r>
    </w:p>
    <w:p>
      <w:pPr>
        <w:pStyle w:val="Heading2"/>
      </w:pPr>
      <w:r>
        <w:t>课后练习与实践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比较三维扫描和摄影测量的适用场景。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为一项非遗设计音视频采集提纲。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制作一份数字采集文件命名规则。</w:t>
      </w:r>
    </w:p>
    <w:p>
      <w:pPr>
        <w:pStyle w:val="Heading2"/>
      </w:pPr>
      <w:r>
        <w:t>评价量规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优秀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合格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需改进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技术选择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能按对象选择方法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方法基本合理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技术与对象不匹配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采集流程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步骤完整可执行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基本完整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流程缺失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伦理授权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授权和版权边界清楚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有基本意识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忽视授权</w:t>
            </w:r>
          </w:p>
        </w:tc>
      </w:tr>
    </w:tbl>
    <w:p/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第3章 文化遗产数据资源与元数据管理</w:t>
      </w:r>
    </w:p>
    <w:p>
      <w:pPr>
        <w:pStyle w:val="Heading2"/>
      </w:pPr>
      <w:r>
        <w:t>学习目标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理解文化遗产数据资源、元数据、资源目录、数据标准和数字资产等概念。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能够建立文化遗产数字资源目录。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掌握版权、授权、敏感信息和数据质量管理要求。</w:t>
      </w:r>
    </w:p>
    <w:p>
      <w:pPr>
        <w:pStyle w:val="Heading2"/>
      </w:pPr>
      <w:r>
        <w:t>思政园地</w:t>
      </w:r>
    </w:p>
    <w:p>
      <w:r>
        <w:rPr>
          <w:rFonts w:ascii="Times New Roman" w:hAnsi="Times New Roman" w:eastAsia="宋体"/>
          <w:sz w:val="21"/>
        </w:rPr>
        <w:t>文化遗产数据既是知识资源，也是公共文化资源。数据管理不能只考虑方便使用，还要尊重文化主体、保护敏感信息、维护国家文化安全和公共利益。</w:t>
      </w:r>
    </w:p>
    <w:p>
      <w:pPr>
        <w:pStyle w:val="Heading2"/>
      </w:pPr>
      <w:r>
        <w:t>案例导入：非遗资源库为什么不能只是文件夹</w:t>
      </w:r>
    </w:p>
    <w:p>
      <w:r>
        <w:rPr>
          <w:rFonts w:ascii="Times New Roman" w:hAnsi="Times New Roman" w:eastAsia="宋体"/>
          <w:sz w:val="21"/>
        </w:rPr>
        <w:t>如果非遗影像只是堆放在硬盘文件夹中，几年后可能无法判断拍摄对象、授权范围、地点、人物和文化解释。没有元数据，素材就难以被研究、教学、展陈和文旅产品开发使用。</w:t>
      </w:r>
    </w:p>
    <w:p>
      <w:pPr>
        <w:pStyle w:val="Heading2"/>
      </w:pPr>
      <w:r>
        <w:t>3.1 元数据的作用</w:t>
      </w:r>
    </w:p>
    <w:p>
      <w:r>
        <w:rPr>
          <w:rFonts w:ascii="Times New Roman" w:hAnsi="Times New Roman" w:eastAsia="宋体"/>
          <w:sz w:val="21"/>
        </w:rPr>
        <w:t>元数据是描述数据的数据。文化遗产元数据应记录名称、类别、地点、年代、权属、采集人、采集时间、格式、精度、授权范围、文化解释、关键词和关联资源。</w:t>
      </w:r>
    </w:p>
    <w:p>
      <w:pPr>
        <w:pStyle w:val="Heading2"/>
      </w:pPr>
      <w:r>
        <w:t>3.2 资源目录模板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3024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说明</w:t>
            </w:r>
          </w:p>
        </w:tc>
        <w:tc>
          <w:tcPr>
            <w:tcW w:type="dxa" w:w="3024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示例</w:t>
            </w:r>
          </w:p>
        </w:tc>
      </w:tr>
      <w:tr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资源编号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唯一编码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TP-JZ-001</w:t>
            </w:r>
          </w:p>
        </w:tc>
      </w:tr>
      <w:tr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遗产名称</w:t>
            </w:r>
          </w:p>
        </w:tc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标准名称</w:t>
            </w:r>
          </w:p>
        </w:tc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屯堡传统民居</w:t>
            </w:r>
          </w:p>
        </w:tc>
      </w:tr>
      <w:tr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类型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建筑、技艺、节庆等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建筑</w:t>
            </w:r>
          </w:p>
        </w:tc>
      </w:tr>
      <w:tr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地点</w:t>
            </w:r>
          </w:p>
        </w:tc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具体位置</w:t>
            </w:r>
          </w:p>
        </w:tc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安顺某村寨</w:t>
            </w:r>
          </w:p>
        </w:tc>
      </w:tr>
      <w:tr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采集方式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摄影、扫描、访谈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摄影测量</w:t>
            </w:r>
          </w:p>
        </w:tc>
      </w:tr>
      <w:tr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权属与授权</w:t>
            </w:r>
          </w:p>
        </w:tc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使用边界</w:t>
            </w:r>
          </w:p>
        </w:tc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教学研究可用</w:t>
            </w:r>
          </w:p>
        </w:tc>
      </w:tr>
      <w:tr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敏感等级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公开、内部、限制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内部</w:t>
            </w:r>
          </w:p>
        </w:tc>
      </w:tr>
    </w:tbl>
    <w:p/>
    <w:p>
      <w:pPr>
        <w:pStyle w:val="Heading2"/>
      </w:pPr>
      <w:r>
        <w:t>3.3 数据质量与版本管理</w:t>
      </w:r>
    </w:p>
    <w:p>
      <w:r>
        <w:rPr>
          <w:rFonts w:ascii="Times New Roman" w:hAnsi="Times New Roman" w:eastAsia="宋体"/>
          <w:sz w:val="21"/>
        </w:rPr>
        <w:t>文化遗产数据要保持准确、完整、一致、可追溯。模型修改、文字校订、授权变更和展示版本都应记录版本号，避免误用旧数据。</w:t>
      </w:r>
    </w:p>
    <w:p>
      <w:pPr>
        <w:pStyle w:val="Heading2"/>
      </w:pPr>
      <w:r>
        <w:t>3.4 数字资产与版权</w:t>
      </w:r>
    </w:p>
    <w:p>
      <w:r>
        <w:rPr>
          <w:rFonts w:ascii="Times New Roman" w:hAnsi="Times New Roman" w:eastAsia="宋体"/>
          <w:sz w:val="21"/>
        </w:rPr>
        <w:t>文化遗产数字资产涉及拍摄者、传承人、社区、机构和平台等多方权利。教材和课程项目使用素材时，应标明来源和授权范围。</w:t>
      </w:r>
    </w:p>
    <w:p>
      <w:pPr>
        <w:pStyle w:val="Heading2"/>
      </w:pPr>
      <w:r>
        <w:t>章节案例</w:t>
      </w:r>
    </w:p>
    <w:p>
      <w:r>
        <w:rPr>
          <w:rFonts w:ascii="Times New Roman" w:hAnsi="Times New Roman" w:eastAsia="宋体"/>
          <w:sz w:val="21"/>
        </w:rPr>
        <w:t>为一个屯堡文化数字资源包建立元数据表和授权说明。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  <w:sz w:val="21"/>
        </w:rPr>
        <w:t>数据治理是文化遗产数字化保护与利用的底座。没有目录、标准和授权，数字资源难以长期使用。</w:t>
      </w:r>
    </w:p>
    <w:p>
      <w:pPr>
        <w:pStyle w:val="Heading2"/>
      </w:pPr>
      <w:r>
        <w:t>课后练习与实践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设计一个文化遗产资源编号规则。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建立十条本地遗产资源目录。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判断哪些资源适合公开展示，哪些需要限制使用。</w:t>
      </w:r>
    </w:p>
    <w:p>
      <w:pPr>
        <w:pStyle w:val="Heading2"/>
      </w:pPr>
      <w:r>
        <w:t>评价量规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优秀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合格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需改进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元数据完整性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字段完整、解释清楚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基本完整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信息缺失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数据治理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有标准和版本意识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有基本目录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文件堆放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权利意识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授权边界清晰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有来源说明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忽视版权</w:t>
            </w:r>
          </w:p>
        </w:tc>
      </w:tr>
    </w:tbl>
    <w:p/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第4章 文化遗产数字化保护监测</w:t>
      </w:r>
    </w:p>
    <w:p>
      <w:pPr>
        <w:pStyle w:val="Heading2"/>
      </w:pPr>
      <w:r>
        <w:t>学习目标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理解遗产风险、数字监测、环境监测、变化检测和预防性保护。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能够设计文化遗产风险清单和监测指标。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掌握数字技术在遗产保护预警中的应用逻辑。</w:t>
      </w:r>
    </w:p>
    <w:p>
      <w:pPr>
        <w:pStyle w:val="Heading2"/>
      </w:pPr>
      <w:r>
        <w:t>思政园地</w:t>
      </w:r>
    </w:p>
    <w:p>
      <w:r>
        <w:rPr>
          <w:rFonts w:ascii="Times New Roman" w:hAnsi="Times New Roman" w:eastAsia="宋体"/>
          <w:sz w:val="21"/>
        </w:rPr>
        <w:t>文化遗产保护重在预防。数字技术应帮助我们更早发现风险，而不是在破坏发生后才进行补救。</w:t>
      </w:r>
    </w:p>
    <w:p>
      <w:pPr>
        <w:pStyle w:val="Heading2"/>
      </w:pPr>
      <w:r>
        <w:t>案例导入：传统建筑保护中的风险监测</w:t>
      </w:r>
    </w:p>
    <w:p>
      <w:r>
        <w:rPr>
          <w:rFonts w:ascii="Times New Roman" w:hAnsi="Times New Roman" w:eastAsia="宋体"/>
          <w:sz w:val="21"/>
        </w:rPr>
        <w:t>传统建筑面临风雨侵蚀、结构老化、火灾隐患、游客压力、改造不当和环境变化等风险。数字监测可帮助管理者建立定期巡检和异常预警机制。</w:t>
      </w:r>
    </w:p>
    <w:p>
      <w:pPr>
        <w:pStyle w:val="Heading2"/>
      </w:pPr>
      <w:r>
        <w:t>4.1 风险类型</w:t>
      </w:r>
    </w:p>
    <w:p>
      <w:r>
        <w:rPr>
          <w:rFonts w:ascii="Times New Roman" w:hAnsi="Times New Roman" w:eastAsia="宋体"/>
          <w:sz w:val="21"/>
        </w:rPr>
        <w:t>文化遗产风险包括自然风险、人为风险、旅游利用风险、环境风险、数字安全风险和管理风险。旅游利用带来的踩踏、拥堵、商业改造和过度拍摄也需要纳入保护管理。</w:t>
      </w:r>
    </w:p>
    <w:p>
      <w:pPr>
        <w:pStyle w:val="Heading2"/>
      </w:pPr>
      <w:r>
        <w:t>4.2 监测技术</w:t>
      </w:r>
    </w:p>
    <w:p>
      <w:r>
        <w:rPr>
          <w:rFonts w:ascii="Times New Roman" w:hAnsi="Times New Roman" w:eastAsia="宋体"/>
          <w:sz w:val="21"/>
        </w:rPr>
        <w:t>监测技术包括GIS、环境传感器、视频巡检、三维模型比对、无人机巡查、二维码巡检和数字档案比对。技术选择应与遗产类型、风险等级和管理能力匹配。</w:t>
      </w:r>
    </w:p>
    <w:p>
      <w:pPr>
        <w:pStyle w:val="Heading2"/>
      </w:pPr>
      <w:r>
        <w:t>4.3 预警与处置闭环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环节</w:t>
            </w:r>
          </w:p>
        </w:tc>
        <w:tc>
          <w:tcPr>
            <w:tcW w:type="dxa" w:w="3024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任务</w:t>
            </w:r>
          </w:p>
        </w:tc>
        <w:tc>
          <w:tcPr>
            <w:tcW w:type="dxa" w:w="3024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输出</w:t>
            </w:r>
          </w:p>
        </w:tc>
      </w:tr>
      <w:tr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识别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找出风险点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风险清单</w:t>
            </w:r>
          </w:p>
        </w:tc>
      </w:tr>
      <w:tr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监测</w:t>
            </w:r>
          </w:p>
        </w:tc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采集变化数据</w:t>
            </w:r>
          </w:p>
        </w:tc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监测记录</w:t>
            </w:r>
          </w:p>
        </w:tc>
      </w:tr>
      <w:tr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预警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判断异常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预警等级</w:t>
            </w:r>
          </w:p>
        </w:tc>
      </w:tr>
      <w:tr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处置</w:t>
            </w:r>
          </w:p>
        </w:tc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分派任务</w:t>
            </w:r>
          </w:p>
        </w:tc>
        <w:tc>
          <w:tcPr>
            <w:tcW w:type="dxa" w:w="3024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工单与整改</w:t>
            </w:r>
          </w:p>
        </w:tc>
      </w:tr>
      <w:tr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复盘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总结原因</w:t>
            </w:r>
          </w:p>
        </w:tc>
        <w:tc>
          <w:tcPr>
            <w:tcW w:type="dxa" w:w="3024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改进方案</w:t>
            </w:r>
          </w:p>
        </w:tc>
      </w:tr>
    </w:tbl>
    <w:p/>
    <w:p>
      <w:pPr>
        <w:pStyle w:val="Heading2"/>
      </w:pPr>
      <w:r>
        <w:t>章节案例</w:t>
      </w:r>
    </w:p>
    <w:p>
      <w:r>
        <w:rPr>
          <w:rFonts w:ascii="Times New Roman" w:hAnsi="Times New Roman" w:eastAsia="宋体"/>
          <w:sz w:val="21"/>
        </w:rPr>
        <w:t>为一处传统村落或历史建筑制定数字化监测方案。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  <w:sz w:val="21"/>
        </w:rPr>
        <w:t>保护监测的目标，是用数据支持预防性保护和责任落实。</w:t>
      </w:r>
    </w:p>
    <w:p>
      <w:pPr>
        <w:pStyle w:val="Heading2"/>
      </w:pPr>
      <w:r>
        <w:t>课后练习与实践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列出传统建筑的五类风险。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设计一个遗产巡检二维码表单。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绘制保护监测闭环。</w:t>
      </w:r>
    </w:p>
    <w:p>
      <w:pPr>
        <w:pStyle w:val="Heading2"/>
      </w:pPr>
      <w:r>
        <w:t>评价量规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优秀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合格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需改进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风险识别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风险具体、分级清楚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能列主要风险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风险泛化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监测设计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指标和频率合理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基本可行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无监测逻辑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闭环管理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预警处置复盘完整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有基本流程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只采集不处置</w:t>
            </w:r>
          </w:p>
        </w:tc>
      </w:tr>
    </w:tbl>
    <w:p/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第5章 数字博物馆与线上展陈</w:t>
      </w:r>
    </w:p>
    <w:p>
      <w:pPr>
        <w:pStyle w:val="Heading2"/>
      </w:pPr>
      <w:r>
        <w:t>学习目标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理解数字博物馆、虚拟展厅、线上展陈、互动叙事和公共教育。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能够设计一个小型数字展陈方案。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掌握展陈中的内容结构、交互设计和无障碍服务。</w:t>
      </w:r>
    </w:p>
    <w:p>
      <w:pPr>
        <w:pStyle w:val="Heading2"/>
      </w:pPr>
      <w:r>
        <w:t>思政园地</w:t>
      </w:r>
    </w:p>
    <w:p>
      <w:r>
        <w:rPr>
          <w:rFonts w:ascii="Times New Roman" w:hAnsi="Times New Roman" w:eastAsia="宋体"/>
          <w:sz w:val="21"/>
        </w:rPr>
        <w:t>博物馆和展陈承担公共文化教育责任。数字展陈应扩大文化资源可及性，让更多公众理解地方历史和文化价值。</w:t>
      </w:r>
    </w:p>
    <w:p>
      <w:pPr>
        <w:pStyle w:val="Heading2"/>
      </w:pPr>
      <w:r>
        <w:t>案例导入：地方文化如何在线上讲清楚</w:t>
      </w:r>
    </w:p>
    <w:p>
      <w:r>
        <w:rPr>
          <w:rFonts w:ascii="Times New Roman" w:hAnsi="Times New Roman" w:eastAsia="宋体"/>
          <w:sz w:val="21"/>
        </w:rPr>
        <w:t>许多线上展陈只有图片轮播和文字说明，缺少主题、叙事和互动。好的数字展陈应从观众问题出发，建立“看什么、为什么重要、与我有什么关系”的理解路径。</w:t>
      </w:r>
    </w:p>
    <w:p>
      <w:pPr>
        <w:pStyle w:val="Heading2"/>
      </w:pPr>
      <w:r>
        <w:t>5.1 展陈主题与叙事线</w:t>
      </w:r>
    </w:p>
    <w:p>
      <w:r>
        <w:rPr>
          <w:rFonts w:ascii="Times New Roman" w:hAnsi="Times New Roman" w:eastAsia="宋体"/>
          <w:sz w:val="21"/>
        </w:rPr>
        <w:t>数字展陈应先确定主题和观众。屯堡文化展陈可围绕迁徙、聚落、服饰、语言、仪式、生活和当代表达构建叙事线。</w:t>
      </w:r>
    </w:p>
    <w:p>
      <w:pPr>
        <w:pStyle w:val="Heading2"/>
      </w:pPr>
      <w:r>
        <w:t>5.2 展陈形式</w:t>
      </w:r>
    </w:p>
    <w:p>
      <w:r>
        <w:rPr>
          <w:rFonts w:ascii="Times New Roman" w:hAnsi="Times New Roman" w:eastAsia="宋体"/>
          <w:sz w:val="21"/>
        </w:rPr>
        <w:t>形式包括网页展厅、全景展厅、三维模型、互动地图、音视频故事、数字人讲解、AR导览和线上课程。形式要服从内容，不应喧宾夺主。</w:t>
      </w:r>
    </w:p>
    <w:p>
      <w:pPr>
        <w:pStyle w:val="Heading2"/>
      </w:pPr>
      <w:r>
        <w:t>5.3 观众体验</w:t>
      </w:r>
    </w:p>
    <w:p>
      <w:r>
        <w:rPr>
          <w:rFonts w:ascii="Times New Roman" w:hAnsi="Times New Roman" w:eastAsia="宋体"/>
          <w:sz w:val="21"/>
        </w:rPr>
        <w:t>线上展陈要关注导航清晰、加载速度、文字可读、移动端适配、老年用户可用和多语言服务。</w:t>
      </w:r>
    </w:p>
    <w:p>
      <w:pPr>
        <w:pStyle w:val="Heading2"/>
      </w:pPr>
      <w:r>
        <w:t>章节案例</w:t>
      </w:r>
    </w:p>
    <w:p>
      <w:r>
        <w:rPr>
          <w:rFonts w:ascii="Times New Roman" w:hAnsi="Times New Roman" w:eastAsia="宋体"/>
          <w:sz w:val="21"/>
        </w:rPr>
        <w:t>设计“安顺屯堡文化线上展厅”的栏目结构、展品清单和互动任务。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  <w:sz w:val="21"/>
        </w:rPr>
        <w:t>数字展陈的关键是把文化价值转化为公众可理解、可参与、可传播的体验。</w:t>
      </w:r>
    </w:p>
    <w:p>
      <w:pPr>
        <w:pStyle w:val="Heading2"/>
      </w:pPr>
      <w:r>
        <w:t>课后练习与实践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评价一个线上展厅的优缺点。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为地方非遗设计展陈叙事线。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制作一个线上展陈栏目表。</w:t>
      </w:r>
    </w:p>
    <w:p>
      <w:pPr>
        <w:pStyle w:val="Heading2"/>
      </w:pPr>
      <w:r>
        <w:t>评价量规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优秀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合格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需改进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主题叙事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主题鲜明、逻辑清楚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主题基本明确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内容堆砌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互动设计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互动服务理解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有基本互动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形式化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公共服务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关注可及性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基本可用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忽视用户</w:t>
            </w:r>
          </w:p>
        </w:tc>
      </w:tr>
    </w:tbl>
    <w:p/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第6章 非物质文化遗产数字化传承</w:t>
      </w:r>
    </w:p>
    <w:p>
      <w:pPr>
        <w:pStyle w:val="Heading2"/>
      </w:pPr>
      <w:r>
        <w:t>学习目标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理解非遗数字化传承的对象、方法和伦理要求。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能够设计非遗数字记录、教学传播和文旅转化方案。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掌握传承人、社区、学校和平台协同机制。</w:t>
      </w:r>
    </w:p>
    <w:p>
      <w:pPr>
        <w:pStyle w:val="Heading2"/>
      </w:pPr>
      <w:r>
        <w:t>思政园地</w:t>
      </w:r>
    </w:p>
    <w:p>
      <w:r>
        <w:rPr>
          <w:rFonts w:ascii="Times New Roman" w:hAnsi="Times New Roman" w:eastAsia="宋体"/>
          <w:sz w:val="21"/>
        </w:rPr>
        <w:t>非遗传承的主体是人和社区。数字化不能替代传承人，也不能脱离文化生活场景。</w:t>
      </w:r>
    </w:p>
    <w:p>
      <w:pPr>
        <w:pStyle w:val="Heading2"/>
      </w:pPr>
      <w:r>
        <w:t>案例导入：传统技艺如何变成数字课程</w:t>
      </w:r>
    </w:p>
    <w:p>
      <w:r>
        <w:rPr>
          <w:rFonts w:ascii="Times New Roman" w:hAnsi="Times New Roman" w:eastAsia="宋体"/>
          <w:sz w:val="21"/>
        </w:rPr>
        <w:t>蜡染、银饰、刺绣、地戏等非遗项目，既有工艺流程，也有文化意义。数字课程应记录步骤，更要解释材料、审美、礼俗和传承故事。</w:t>
      </w:r>
    </w:p>
    <w:p>
      <w:pPr>
        <w:pStyle w:val="Heading2"/>
      </w:pPr>
      <w:r>
        <w:t>6.1 非遗数字记录</w:t>
      </w:r>
    </w:p>
    <w:p>
      <w:r>
        <w:rPr>
          <w:rFonts w:ascii="Times New Roman" w:hAnsi="Times New Roman" w:eastAsia="宋体"/>
          <w:sz w:val="21"/>
        </w:rPr>
        <w:t>非遗记录应覆盖人、物、技、境、义。即传承人、工具材料、工艺动作、发生环境和文化意义。</w:t>
      </w:r>
    </w:p>
    <w:p>
      <w:pPr>
        <w:pStyle w:val="Heading2"/>
      </w:pPr>
      <w:r>
        <w:t>6.2 数字化教学</w:t>
      </w:r>
    </w:p>
    <w:p>
      <w:r>
        <w:rPr>
          <w:rFonts w:ascii="Times New Roman" w:hAnsi="Times New Roman" w:eastAsia="宋体"/>
          <w:sz w:val="21"/>
        </w:rPr>
        <w:t>数字化教学可采用微课、互动任务、虚拟仿真、线上工作坊和研学课程。教学设计要避免把复杂技艺简化为娱乐体验。</w:t>
      </w:r>
    </w:p>
    <w:p>
      <w:pPr>
        <w:pStyle w:val="Heading2"/>
      </w:pPr>
      <w:r>
        <w:t>6.3 文旅转化</w:t>
      </w:r>
    </w:p>
    <w:p>
      <w:r>
        <w:rPr>
          <w:rFonts w:ascii="Times New Roman" w:hAnsi="Times New Roman" w:eastAsia="宋体"/>
          <w:sz w:val="21"/>
        </w:rPr>
        <w:t>非遗文旅转化包括体验课程、研学产品、文创设计、节事活动和线上传播。转化应让传承人和社区受益。</w:t>
      </w:r>
    </w:p>
    <w:p>
      <w:pPr>
        <w:pStyle w:val="Heading2"/>
      </w:pPr>
      <w:r>
        <w:t>章节案例</w:t>
      </w:r>
    </w:p>
    <w:p>
      <w:r>
        <w:rPr>
          <w:rFonts w:ascii="Times New Roman" w:hAnsi="Times New Roman" w:eastAsia="宋体"/>
          <w:sz w:val="21"/>
        </w:rPr>
        <w:t>为一项贵州非遗设计“数字记录+研学体验+文创传播”方案。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  <w:sz w:val="21"/>
        </w:rPr>
        <w:t>非遗数字化传承应坚持活态传承、社区参与和合理利用。</w:t>
      </w:r>
    </w:p>
    <w:p>
      <w:pPr>
        <w:pStyle w:val="Heading2"/>
      </w:pPr>
      <w:r>
        <w:t>课后练习与实践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说明非遗数字化与普通视频拍摄的区别。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设计一个非遗微课脚本。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讨论非遗商业化的边界。</w:t>
      </w:r>
    </w:p>
    <w:p>
      <w:pPr>
        <w:pStyle w:val="Heading2"/>
      </w:pPr>
      <w:r>
        <w:t>评价量规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优秀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合格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需改进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活态理解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能体现人和社区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基本理解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只看物品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教学设计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目标清楚、任务合理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基本完整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缺少教学逻辑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利益平衡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关注传承人权益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有基本意识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忽视主体</w:t>
            </w:r>
          </w:p>
        </w:tc>
      </w:tr>
    </w:tbl>
    <w:p/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第7章 文化遗产数字内容生产与AIGC应用</w:t>
      </w:r>
    </w:p>
    <w:p>
      <w:pPr>
        <w:pStyle w:val="Heading2"/>
      </w:pPr>
      <w:r>
        <w:t>学习目标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理解数字内容、AIGC、知识库、提示词和事实核验。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能够使用AIGC辅助文化遗产导览词、展陈文案和短视频脚本。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掌握文化内容生产中的真实性、版权和伦理边界。</w:t>
      </w:r>
    </w:p>
    <w:p>
      <w:pPr>
        <w:pStyle w:val="Heading2"/>
      </w:pPr>
      <w:r>
        <w:t>思政园地</w:t>
      </w:r>
    </w:p>
    <w:p>
      <w:r>
        <w:rPr>
          <w:rFonts w:ascii="Times New Roman" w:hAnsi="Times New Roman" w:eastAsia="宋体"/>
          <w:sz w:val="21"/>
        </w:rPr>
        <w:t>AIGC可以提高文化传播效率，但不能替代历史事实、地方知识和文化尊重。文化遗产内容生产必须守住真实底线。</w:t>
      </w:r>
    </w:p>
    <w:p>
      <w:pPr>
        <w:pStyle w:val="Heading2"/>
      </w:pPr>
      <w:r>
        <w:t>案例导入：AI生成导览词为什么需要人工审核</w:t>
      </w:r>
    </w:p>
    <w:p>
      <w:r>
        <w:rPr>
          <w:rFonts w:ascii="Times New Roman" w:hAnsi="Times New Roman" w:eastAsia="宋体"/>
          <w:sz w:val="21"/>
        </w:rPr>
        <w:t>AI可能把相近地域、民族、年代和故事混淆。如果未经核验直接用于导览，会造成文化误读和传播错误。</w:t>
      </w:r>
    </w:p>
    <w:p>
      <w:pPr>
        <w:pStyle w:val="Heading2"/>
      </w:pPr>
      <w:r>
        <w:t>7.1 AIGC工作流</w:t>
      </w:r>
    </w:p>
    <w:p>
      <w:r>
        <w:rPr>
          <w:rFonts w:ascii="Times New Roman" w:hAnsi="Times New Roman" w:eastAsia="宋体"/>
          <w:sz w:val="21"/>
        </w:rPr>
        <w:t>AIGC文化内容生产包括素材整理、知识库建设、提示词设计、初稿生成、事实核验、文化审核、版权审查、发布和反馈。</w:t>
      </w:r>
    </w:p>
    <w:p>
      <w:pPr>
        <w:pStyle w:val="Heading2"/>
      </w:pPr>
      <w:r>
        <w:t>7.2 内容类型</w:t>
      </w:r>
    </w:p>
    <w:p>
      <w:r>
        <w:rPr>
          <w:rFonts w:ascii="Times New Roman" w:hAnsi="Times New Roman" w:eastAsia="宋体"/>
          <w:sz w:val="21"/>
        </w:rPr>
        <w:t>可生产导览词、展陈说明、研学任务卡、短视频脚本、数字人话术、文创故事和多语言介绍。</w:t>
      </w:r>
    </w:p>
    <w:p>
      <w:pPr>
        <w:pStyle w:val="Heading2"/>
      </w:pPr>
      <w:r>
        <w:t>7.3 风险治理</w:t>
      </w:r>
    </w:p>
    <w:p>
      <w:r>
        <w:rPr>
          <w:rFonts w:ascii="Times New Roman" w:hAnsi="Times New Roman" w:eastAsia="宋体"/>
          <w:sz w:val="21"/>
        </w:rPr>
        <w:t>风险包括事实错误、版权争议、文化刻板印象、过度娱乐化、虚假宣传和敏感信息泄露。</w:t>
      </w:r>
    </w:p>
    <w:p>
      <w:pPr>
        <w:pStyle w:val="Heading2"/>
      </w:pPr>
      <w:r>
        <w:t>章节案例</w:t>
      </w:r>
    </w:p>
    <w:p>
      <w:r>
        <w:rPr>
          <w:rFonts w:ascii="Times New Roman" w:hAnsi="Times New Roman" w:eastAsia="宋体"/>
          <w:sz w:val="21"/>
        </w:rPr>
        <w:t>为屯堡文化生成一段导览词，并设计事实核验清单。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  <w:sz w:val="21"/>
        </w:rPr>
        <w:t>AIGC适合辅助创意和效率提升，但必须纳入人机协同和审核机制。</w:t>
      </w:r>
    </w:p>
    <w:p>
      <w:pPr>
        <w:pStyle w:val="Heading2"/>
      </w:pPr>
      <w:r>
        <w:t>课后练习与实践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设计一个文化遗产AIGC提示词。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核验一段AI生成文案的事实问题。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制作内容审核清单。</w:t>
      </w:r>
    </w:p>
    <w:p>
      <w:pPr>
        <w:pStyle w:val="Heading2"/>
      </w:pPr>
      <w:r>
        <w:t>评价量规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优秀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合格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需改进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提示词设计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背景、任务、约束清楚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基本可用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指令模糊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事实核验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核验路径完整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有基本核验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直接采用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伦理意识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风险识别充分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有风险意识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忽视边界</w:t>
            </w:r>
          </w:p>
        </w:tc>
      </w:tr>
    </w:tbl>
    <w:p/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第8章 文化遗产数字化活化利用</w:t>
      </w:r>
    </w:p>
    <w:p>
      <w:pPr>
        <w:pStyle w:val="Heading2"/>
      </w:pPr>
      <w:r>
        <w:t>学习目标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理解活化利用、文旅融合、研学旅游、沉浸体验和文创开发。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能够设计保护优先的文化遗产活化利用方案。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掌握产品、场景、运营和评价的基本方法。</w:t>
      </w:r>
    </w:p>
    <w:p>
      <w:pPr>
        <w:pStyle w:val="Heading2"/>
      </w:pPr>
      <w:r>
        <w:t>思政园地</w:t>
      </w:r>
    </w:p>
    <w:p>
      <w:r>
        <w:rPr>
          <w:rFonts w:ascii="Times New Roman" w:hAnsi="Times New Roman" w:eastAsia="宋体"/>
          <w:sz w:val="21"/>
        </w:rPr>
        <w:t>活化利用不是过度商业化。真正的活化，是让文化遗产在当代生活中被理解、被尊重、被传承。</w:t>
      </w:r>
    </w:p>
    <w:p>
      <w:pPr>
        <w:pStyle w:val="Heading2"/>
      </w:pPr>
      <w:r>
        <w:t>案例导入：屯堡文化如何转化为研学和体验产品</w:t>
      </w:r>
    </w:p>
    <w:p>
      <w:r>
        <w:rPr>
          <w:rFonts w:ascii="Times New Roman" w:hAnsi="Times New Roman" w:eastAsia="宋体"/>
          <w:sz w:val="21"/>
        </w:rPr>
        <w:t>屯堡文化可以转化为建筑观察、服饰体验、语言故事、地戏课程、传统饮食和乡村生活研学，但必须避免把文化变成简单表演。</w:t>
      </w:r>
    </w:p>
    <w:p>
      <w:pPr>
        <w:pStyle w:val="Heading2"/>
      </w:pPr>
      <w:r>
        <w:t>8.1 活化利用原则</w:t>
      </w:r>
    </w:p>
    <w:p>
      <w:r>
        <w:rPr>
          <w:rFonts w:ascii="Times New Roman" w:hAnsi="Times New Roman" w:eastAsia="宋体"/>
          <w:sz w:val="21"/>
        </w:rPr>
        <w:t>原则包括保护优先、真实性、社区参与、适度商业化、教育价值和可持续运营。</w:t>
      </w:r>
    </w:p>
    <w:p>
      <w:pPr>
        <w:pStyle w:val="Heading2"/>
      </w:pPr>
      <w:r>
        <w:t>8.2 产品设计</w:t>
      </w:r>
    </w:p>
    <w:p>
      <w:r>
        <w:rPr>
          <w:rFonts w:ascii="Times New Roman" w:hAnsi="Times New Roman" w:eastAsia="宋体"/>
          <w:sz w:val="21"/>
        </w:rPr>
        <w:t>产品可包括研学课程、数字导览、沉浸展演、文创商品、节事活动、主题线路和线上课程。产品设计要明确目标游客、核心体验、服务流程、价格和评价指标。</w:t>
      </w:r>
    </w:p>
    <w:p>
      <w:pPr>
        <w:pStyle w:val="Heading2"/>
      </w:pPr>
      <w:r>
        <w:t>8.3 场景运营</w:t>
      </w:r>
    </w:p>
    <w:p>
      <w:r>
        <w:rPr>
          <w:rFonts w:ascii="Times New Roman" w:hAnsi="Times New Roman" w:eastAsia="宋体"/>
          <w:sz w:val="21"/>
        </w:rPr>
        <w:t>数字技术可用于预约、导览、互动、评价、会员和传播。运营重点是让游客理解文化，而不是只完成打卡。</w:t>
      </w:r>
    </w:p>
    <w:p>
      <w:pPr>
        <w:pStyle w:val="Heading2"/>
      </w:pPr>
      <w:r>
        <w:t>章节案例</w:t>
      </w:r>
    </w:p>
    <w:p>
      <w:r>
        <w:rPr>
          <w:rFonts w:ascii="Times New Roman" w:hAnsi="Times New Roman" w:eastAsia="宋体"/>
          <w:sz w:val="21"/>
        </w:rPr>
        <w:t>设计一条“屯堡文化数字研学一日课程”。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  <w:sz w:val="21"/>
        </w:rPr>
        <w:t>活化利用要把文化价值、游客体验、社区收益和保护责任统一起来。</w:t>
      </w:r>
    </w:p>
    <w:p>
      <w:pPr>
        <w:pStyle w:val="Heading2"/>
      </w:pPr>
      <w:r>
        <w:t>课后练习与实践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说明活化利用与过度商业化的区别。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为一项非遗设计研学产品。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制定一个活化利用评价指标表。</w:t>
      </w:r>
    </w:p>
    <w:p>
      <w:pPr>
        <w:pStyle w:val="Heading2"/>
      </w:pPr>
      <w:r>
        <w:t>评价量规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优秀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合格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需改进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保护意识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保护边界清楚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有基本意识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只重商业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产品设计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体验、流程、评价完整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基本完整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产品空泛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社区参与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利益机制合理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有参与设计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忽视社区</w:t>
            </w:r>
          </w:p>
        </w:tc>
      </w:tr>
    </w:tbl>
    <w:p/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第9章 文化遗产数字传播与新媒体运营</w:t>
      </w:r>
    </w:p>
    <w:p>
      <w:pPr>
        <w:pStyle w:val="Heading2"/>
      </w:pPr>
      <w:r>
        <w:t>学习目标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理解文化遗产数字传播、社交媒体、短视频、直播和私域运营。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能够设计文化遗产传播内容矩阵。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掌握传播效果评价和舆情风险管理。</w:t>
      </w:r>
    </w:p>
    <w:p>
      <w:pPr>
        <w:pStyle w:val="Heading2"/>
      </w:pPr>
      <w:r>
        <w:t>思政园地</w:t>
      </w:r>
    </w:p>
    <w:p>
      <w:r>
        <w:rPr>
          <w:rFonts w:ascii="Times New Roman" w:hAnsi="Times New Roman" w:eastAsia="宋体"/>
          <w:sz w:val="21"/>
        </w:rPr>
        <w:t>文化传播要追求真实、健康、有深度的表达，不能为了流量牺牲文化尊严和事实准确。</w:t>
      </w:r>
    </w:p>
    <w:p>
      <w:pPr>
        <w:pStyle w:val="Heading2"/>
      </w:pPr>
      <w:r>
        <w:t>案例导入：短视频如何讲好地方文化</w:t>
      </w:r>
    </w:p>
    <w:p>
      <w:r>
        <w:rPr>
          <w:rFonts w:ascii="Times New Roman" w:hAnsi="Times New Roman" w:eastAsia="宋体"/>
          <w:sz w:val="21"/>
        </w:rPr>
        <w:t>地方文化短视频不能只有猎奇画面，还要解释来龙去脉、人物故事和当代意义。</w:t>
      </w:r>
    </w:p>
    <w:p>
      <w:pPr>
        <w:pStyle w:val="Heading2"/>
      </w:pPr>
      <w:r>
        <w:t>9.1 内容矩阵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内容类型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传播重点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适用平台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评价指标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知识科普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历史和价值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公众号、视频号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完播率、收藏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人物故事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传承人和社区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短视频、直播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评论、转发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体验攻略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研学和旅游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小红书、OTA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点击、转化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文创展示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产品和设计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电商、直播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订单、复购</w:t>
            </w:r>
          </w:p>
        </w:tc>
      </w:tr>
    </w:tbl>
    <w:p/>
    <w:p>
      <w:pPr>
        <w:pStyle w:val="Heading2"/>
      </w:pPr>
      <w:r>
        <w:t>9.2 传播策略</w:t>
      </w:r>
    </w:p>
    <w:p>
      <w:r>
        <w:rPr>
          <w:rFonts w:ascii="Times New Roman" w:hAnsi="Times New Roman" w:eastAsia="宋体"/>
          <w:sz w:val="21"/>
        </w:rPr>
        <w:t>传播应建立主题、栏目、节奏、账号矩阵和互动机制。内容发布后要分析数据并回到产品和服务改进。</w:t>
      </w:r>
    </w:p>
    <w:p>
      <w:pPr>
        <w:pStyle w:val="Heading2"/>
      </w:pPr>
      <w:r>
        <w:t>9.3 风险治理</w:t>
      </w:r>
    </w:p>
    <w:p>
      <w:r>
        <w:rPr>
          <w:rFonts w:ascii="Times New Roman" w:hAnsi="Times New Roman" w:eastAsia="宋体"/>
          <w:sz w:val="21"/>
        </w:rPr>
        <w:t>风险包括误读、争议、低俗化、虚假宣传、版权争议和社区反感。要建立审核机制和回应机制。</w:t>
      </w:r>
    </w:p>
    <w:p>
      <w:pPr>
        <w:pStyle w:val="Heading2"/>
      </w:pPr>
      <w:r>
        <w:t>章节案例</w:t>
      </w:r>
    </w:p>
    <w:p>
      <w:r>
        <w:rPr>
          <w:rFonts w:ascii="Times New Roman" w:hAnsi="Times New Roman" w:eastAsia="宋体"/>
          <w:sz w:val="21"/>
        </w:rPr>
        <w:t>为安顺屯堡文化设计一个月的新媒体传播计划。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  <w:sz w:val="21"/>
        </w:rPr>
        <w:t>文化遗产传播要在流量、价值和责任之间取得平衡。</w:t>
      </w:r>
    </w:p>
    <w:p>
      <w:pPr>
        <w:pStyle w:val="Heading2"/>
      </w:pPr>
      <w:r>
        <w:t>课后练习与实践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设计三条文化遗产短视频选题。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制作传播内容矩阵。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分析一个文化旅游账号的传播问题。</w:t>
      </w:r>
    </w:p>
    <w:p>
      <w:pPr>
        <w:pStyle w:val="Heading2"/>
      </w:pPr>
      <w:r>
        <w:t>评价量规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优秀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合格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需改进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内容深度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有文化解释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基本准确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浅表猎奇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平台匹配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内容适配平台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基本匹配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随意发布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风险治理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审核和回应机制完整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有风险意识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忽视风险</w:t>
            </w:r>
          </w:p>
        </w:tc>
      </w:tr>
    </w:tbl>
    <w:p/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第10章 文化遗产数字化项目管理与评估</w:t>
      </w:r>
    </w:p>
    <w:p>
      <w:pPr>
        <w:pStyle w:val="Heading2"/>
      </w:pPr>
      <w:r>
        <w:t>学习目标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理解数字化项目立项、需求、进度、质量、成本、风险和验收。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能够编制文化遗产数字化项目任务书。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掌握项目绩效评价指标。</w:t>
      </w:r>
    </w:p>
    <w:p>
      <w:pPr>
        <w:pStyle w:val="Heading2"/>
      </w:pPr>
      <w:r>
        <w:t>思政园地</w:t>
      </w:r>
    </w:p>
    <w:p>
      <w:r>
        <w:rPr>
          <w:rFonts w:ascii="Times New Roman" w:hAnsi="Times New Roman" w:eastAsia="宋体"/>
          <w:sz w:val="21"/>
        </w:rPr>
        <w:t>文化遗产数字化项目使用公共资源和文化资源，必须重视规范管理、质量责任和长期维护。</w:t>
      </w:r>
    </w:p>
    <w:p>
      <w:pPr>
        <w:pStyle w:val="Heading2"/>
      </w:pPr>
      <w:r>
        <w:t>案例导入：为什么数字化项目不能只看交付文件</w:t>
      </w:r>
    </w:p>
    <w:p>
      <w:r>
        <w:rPr>
          <w:rFonts w:ascii="Times New Roman" w:hAnsi="Times New Roman" w:eastAsia="宋体"/>
          <w:sz w:val="21"/>
        </w:rPr>
        <w:t>一些项目验收时有模型、图片和平台，但后期无人维护、数据无法复用、版权不清。项目管理要从长期使用出发。</w:t>
      </w:r>
    </w:p>
    <w:p>
      <w:pPr>
        <w:pStyle w:val="Heading2"/>
      </w:pPr>
      <w:r>
        <w:t>10.1 项目流程</w:t>
      </w:r>
    </w:p>
    <w:p>
      <w:r>
        <w:rPr>
          <w:rFonts w:ascii="Times New Roman" w:hAnsi="Times New Roman" w:eastAsia="宋体"/>
          <w:sz w:val="21"/>
        </w:rPr>
        <w:t>流程包括需求调研、方案设计、预算编制、团队组织、采集实施、数据治理、平台建设、测试验收、培训移交和运维评估。</w:t>
      </w:r>
    </w:p>
    <w:p>
      <w:pPr>
        <w:pStyle w:val="Heading2"/>
      </w:pPr>
      <w:r>
        <w:t>10.2 质量管理</w:t>
      </w:r>
    </w:p>
    <w:p>
      <w:r>
        <w:rPr>
          <w:rFonts w:ascii="Times New Roman" w:hAnsi="Times New Roman" w:eastAsia="宋体"/>
          <w:sz w:val="21"/>
        </w:rPr>
        <w:t>质量指标包括采集完整性、模型精度、元数据完整性、系统稳定性、展示体验、授权合规和可维护性。</w:t>
      </w:r>
    </w:p>
    <w:p>
      <w:pPr>
        <w:pStyle w:val="Heading2"/>
      </w:pPr>
      <w:r>
        <w:t>10.3 绩效评价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535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4535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指标示例</w:t>
            </w:r>
          </w:p>
        </w:tc>
      </w:tr>
      <w:tr>
        <w:tc>
          <w:tcPr>
            <w:tcW w:type="dxa" w:w="4535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保护价值</w:t>
            </w:r>
          </w:p>
        </w:tc>
        <w:tc>
          <w:tcPr>
            <w:tcW w:type="dxa" w:w="4535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档案完整、风险监测、研究可用</w:t>
            </w:r>
          </w:p>
        </w:tc>
      </w:tr>
      <w:tr>
        <w:tc>
          <w:tcPr>
            <w:tcW w:type="dxa" w:w="4535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传播价值</w:t>
            </w:r>
          </w:p>
        </w:tc>
        <w:tc>
          <w:tcPr>
            <w:tcW w:type="dxa" w:w="4535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访问量、学习效果、公众反馈</w:t>
            </w:r>
          </w:p>
        </w:tc>
      </w:tr>
      <w:tr>
        <w:tc>
          <w:tcPr>
            <w:tcW w:type="dxa" w:w="4535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利用价值</w:t>
            </w:r>
          </w:p>
        </w:tc>
        <w:tc>
          <w:tcPr>
            <w:tcW w:type="dxa" w:w="4535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课程、研学、文创、旅游转化</w:t>
            </w:r>
          </w:p>
        </w:tc>
      </w:tr>
      <w:tr>
        <w:tc>
          <w:tcPr>
            <w:tcW w:type="dxa" w:w="4535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治理价值</w:t>
            </w:r>
          </w:p>
        </w:tc>
        <w:tc>
          <w:tcPr>
            <w:tcW w:type="dxa" w:w="4535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权限、版权、维护、更新</w:t>
            </w:r>
          </w:p>
        </w:tc>
      </w:tr>
    </w:tbl>
    <w:p/>
    <w:p>
      <w:pPr>
        <w:pStyle w:val="Heading2"/>
      </w:pPr>
      <w:r>
        <w:t>章节案例</w:t>
      </w:r>
    </w:p>
    <w:p>
      <w:r>
        <w:rPr>
          <w:rFonts w:ascii="Times New Roman" w:hAnsi="Times New Roman" w:eastAsia="宋体"/>
          <w:sz w:val="21"/>
        </w:rPr>
        <w:t>编制“屯堡文化数字资源库建设项目任务书”。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  <w:sz w:val="21"/>
        </w:rPr>
        <w:t>项目管理决定数字化成果能否长期可用、可信和可持续。</w:t>
      </w:r>
    </w:p>
    <w:p>
      <w:pPr>
        <w:pStyle w:val="Heading2"/>
      </w:pPr>
      <w:r>
        <w:t>课后练习与实践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设计项目WBS。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制定质量验收表。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编写项目风险清单。</w:t>
      </w:r>
    </w:p>
    <w:p>
      <w:pPr>
        <w:pStyle w:val="Heading2"/>
      </w:pPr>
      <w:r>
        <w:t>评价量规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优秀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合格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需改进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需求分析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对象和目标清楚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基本明确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需求空泛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质量控制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指标可验收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有基本指标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无质量标准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可持续性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运维和复用清楚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有维护意识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只重建设</w:t>
            </w:r>
          </w:p>
        </w:tc>
      </w:tr>
    </w:tbl>
    <w:p/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第11章 文化遗产数字化伦理、法规与治理</w:t>
      </w:r>
    </w:p>
    <w:p>
      <w:pPr>
        <w:pStyle w:val="Heading2"/>
      </w:pPr>
      <w:r>
        <w:t>学习目标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理解文化遗产数字化中的伦理、版权、隐私、数据安全和社区权益。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能够识别数字化保护与利用中的治理风险。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掌握基本合规审查清单。</w:t>
      </w:r>
    </w:p>
    <w:p>
      <w:pPr>
        <w:pStyle w:val="Heading2"/>
      </w:pPr>
      <w:r>
        <w:t>思政园地</w:t>
      </w:r>
    </w:p>
    <w:p>
      <w:r>
        <w:rPr>
          <w:rFonts w:ascii="Times New Roman" w:hAnsi="Times New Roman" w:eastAsia="宋体"/>
          <w:sz w:val="21"/>
        </w:rPr>
        <w:t>文化遗产数字化治理体现法治意识、文化尊重和公共责任。越是数字传播便利，越要守住底线。</w:t>
      </w:r>
    </w:p>
    <w:p>
      <w:pPr>
        <w:pStyle w:val="Heading2"/>
      </w:pPr>
      <w:r>
        <w:t>案例导入：谁有权使用文化遗产数字素材</w:t>
      </w:r>
    </w:p>
    <w:p>
      <w:r>
        <w:rPr>
          <w:rFonts w:ascii="Times New Roman" w:hAnsi="Times New Roman" w:eastAsia="宋体"/>
          <w:sz w:val="21"/>
        </w:rPr>
        <w:t>一段非遗视频可能涉及传承人肖像、技艺知识、拍摄者版权、平台传播和商业开发。使用前必须厘清授权。</w:t>
      </w:r>
    </w:p>
    <w:p>
      <w:pPr>
        <w:pStyle w:val="Heading2"/>
      </w:pPr>
      <w:r>
        <w:t>11.1 伦理问题</w:t>
      </w:r>
    </w:p>
    <w:p>
      <w:r>
        <w:rPr>
          <w:rFonts w:ascii="Times New Roman" w:hAnsi="Times New Roman" w:eastAsia="宋体"/>
          <w:sz w:val="21"/>
        </w:rPr>
        <w:t>伦理问题包括文化挪用、符号化消费、社区失语、敏感知识公开、过度商业化和算法偏见。</w:t>
      </w:r>
    </w:p>
    <w:p>
      <w:pPr>
        <w:pStyle w:val="Heading2"/>
      </w:pPr>
      <w:r>
        <w:t>11.2 法规与合规</w:t>
      </w:r>
    </w:p>
    <w:p>
      <w:r>
        <w:rPr>
          <w:rFonts w:ascii="Times New Roman" w:hAnsi="Times New Roman" w:eastAsia="宋体"/>
          <w:sz w:val="21"/>
        </w:rPr>
        <w:t>项目应关注文物保护、非遗保护、著作权、个人信息保护、数据安全和网络安全等法律要求。教材中涉及具体条文时，应以最新正式文本核验。</w:t>
      </w:r>
    </w:p>
    <w:p>
      <w:pPr>
        <w:pStyle w:val="Heading2"/>
      </w:pPr>
      <w:r>
        <w:t>11.3 治理机制</w:t>
      </w:r>
    </w:p>
    <w:p>
      <w:r>
        <w:rPr>
          <w:rFonts w:ascii="Times New Roman" w:hAnsi="Times New Roman" w:eastAsia="宋体"/>
          <w:sz w:val="21"/>
        </w:rPr>
        <w:t>治理机制包括授权协议、专家审核、社区参与、数据分级、内容审核、收益反馈和投诉纠错。</w:t>
      </w:r>
    </w:p>
    <w:p>
      <w:pPr>
        <w:pStyle w:val="Heading2"/>
      </w:pPr>
      <w:r>
        <w:t>章节案例</w:t>
      </w:r>
    </w:p>
    <w:p>
      <w:r>
        <w:rPr>
          <w:rFonts w:ascii="Times New Roman" w:hAnsi="Times New Roman" w:eastAsia="宋体"/>
          <w:sz w:val="21"/>
        </w:rPr>
        <w:t>为一个非遗短视频传播项目制定伦理与合规审查清单。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  <w:sz w:val="21"/>
        </w:rPr>
        <w:t>数字化治理是文化遗产保护与利用可持续的制度保障。</w:t>
      </w:r>
    </w:p>
    <w:p>
      <w:pPr>
        <w:pStyle w:val="Heading2"/>
      </w:pPr>
      <w:r>
        <w:t>课后练习与实践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列出文化遗产数字化的五类伦理风险。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判断一个数字素材能否商业使用。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制定授权说明模板。</w:t>
      </w:r>
    </w:p>
    <w:p>
      <w:pPr>
        <w:pStyle w:val="Heading2"/>
      </w:pPr>
      <w:r>
        <w:t>评价量规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优秀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合格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需改进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风险识别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伦理、法律、社区风险完整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能识别主要风险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风险单一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合规设计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审查清单可执行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基本可用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缺少流程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价值平衡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能平衡保护与利用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有基本意识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片面商业化</w:t>
            </w:r>
          </w:p>
        </w:tc>
      </w:tr>
    </w:tbl>
    <w:p/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第12章 文化遗产数字化人才培养与未来趋势</w:t>
      </w:r>
    </w:p>
    <w:p>
      <w:pPr>
        <w:pStyle w:val="Heading2"/>
      </w:pPr>
      <w:r>
        <w:t>学习目标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理解文化遗产数字化人才的能力结构。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掌握课程实践、校地合作和项目制学习路径。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了解数字孪生、AIGC、可信数据空间和沉浸式体验等趋势。</w:t>
      </w:r>
    </w:p>
    <w:p>
      <w:pPr>
        <w:pStyle w:val="Heading2"/>
      </w:pPr>
      <w:r>
        <w:t>思政园地</w:t>
      </w:r>
    </w:p>
    <w:p>
      <w:r>
        <w:rPr>
          <w:rFonts w:ascii="Times New Roman" w:hAnsi="Times New Roman" w:eastAsia="宋体"/>
          <w:sz w:val="21"/>
        </w:rPr>
        <w:t>地方高校应把人才培养与地方文化保护、数字文旅发展和乡村振兴结合起来，让学生在真实项目中成长。</w:t>
      </w:r>
    </w:p>
    <w:p>
      <w:pPr>
        <w:pStyle w:val="Heading2"/>
      </w:pPr>
      <w:r>
        <w:t>案例导入：数字文旅专业如何服务地方文化遗产</w:t>
      </w:r>
    </w:p>
    <w:p>
      <w:r>
        <w:rPr>
          <w:rFonts w:ascii="Times New Roman" w:hAnsi="Times New Roman" w:eastAsia="宋体"/>
          <w:sz w:val="21"/>
        </w:rPr>
        <w:t>安顺学院旅游管理学院可围绕屯堡文化、黄果树、传统村落、非遗和智慧旅游项目，建设课程实践、学生项目和校地合作案例库。</w:t>
      </w:r>
    </w:p>
    <w:p>
      <w:pPr>
        <w:pStyle w:val="Heading2"/>
      </w:pPr>
      <w:r>
        <w:t>12.1 能力结构</w:t>
      </w:r>
    </w:p>
    <w:p>
      <w:r>
        <w:rPr>
          <w:rFonts w:ascii="Times New Roman" w:hAnsi="Times New Roman" w:eastAsia="宋体"/>
          <w:sz w:val="21"/>
        </w:rPr>
        <w:t>人才能力包括文化理解、田野调查、数字采集、数据治理、内容策划、产品运营、项目管理、伦理合规和团队协作。</w:t>
      </w:r>
    </w:p>
    <w:p>
      <w:pPr>
        <w:pStyle w:val="Heading2"/>
      </w:pPr>
      <w:r>
        <w:t>12.2 项目制学习</w:t>
      </w:r>
    </w:p>
    <w:p>
      <w:r>
        <w:rPr>
          <w:rFonts w:ascii="Times New Roman" w:hAnsi="Times New Roman" w:eastAsia="宋体"/>
          <w:sz w:val="21"/>
        </w:rPr>
        <w:t>项目制学习应围绕真实任务展开，如文化遗产资源目录、数字采集、线上展陈、研学产品、AIGC导览词和传播方案。</w:t>
      </w:r>
    </w:p>
    <w:p>
      <w:pPr>
        <w:pStyle w:val="Heading2"/>
      </w:pPr>
      <w:r>
        <w:t>12.3 未来趋势</w:t>
      </w:r>
    </w:p>
    <w:p>
      <w:r>
        <w:rPr>
          <w:rFonts w:ascii="Times New Roman" w:hAnsi="Times New Roman" w:eastAsia="宋体"/>
          <w:sz w:val="21"/>
        </w:rPr>
        <w:t>未来趋势包括高精度三维记录、数字孪生遗产空间、AIGC知识服务、沉浸式展陈、可信数据共享、公众参与式保护和文旅融合运营。</w:t>
      </w:r>
    </w:p>
    <w:p>
      <w:pPr>
        <w:pStyle w:val="Heading2"/>
      </w:pPr>
      <w:r>
        <w:t>章节案例</w:t>
      </w:r>
    </w:p>
    <w:p>
      <w:r>
        <w:rPr>
          <w:rFonts w:ascii="Times New Roman" w:hAnsi="Times New Roman" w:eastAsia="宋体"/>
          <w:sz w:val="21"/>
        </w:rPr>
        <w:t>设计一个“安顺文化遗产数字化保护与利用”课程项目群。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  <w:sz w:val="21"/>
        </w:rPr>
        <w:t>文化遗产数字化的未来，不只是技术升级，更是人才、制度、文化理解和地方服务能力的综合提升。</w:t>
      </w:r>
    </w:p>
    <w:p>
      <w:pPr>
        <w:pStyle w:val="Heading2"/>
      </w:pPr>
      <w:r>
        <w:t>课后练习与实践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绘制个人能力雷达图。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设计一个课程项目。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讨论AIGC对文化遗产保护与利用的影响。</w:t>
      </w:r>
    </w:p>
    <w:p>
      <w:pPr>
        <w:pStyle w:val="Heading2"/>
      </w:pPr>
      <w:r>
        <w:t>评价量规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评价维度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优秀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合格</w:t>
            </w:r>
          </w:p>
        </w:tc>
        <w:tc>
          <w:tcPr>
            <w:tcW w:type="dxa" w:w="2268"/>
            <w:vAlign w:val="center"/>
            <w:shd w:fill="1F4E79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需改进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能力理解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能构建复合能力框架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基本完整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单一技术视角</w:t>
            </w:r>
          </w:p>
        </w:tc>
      </w:tr>
      <w:tr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项目设计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真实、可执行、有产出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基本可行</w:t>
            </w:r>
          </w:p>
        </w:tc>
        <w:tc>
          <w:tcPr>
            <w:tcW w:type="dxa" w:w="2268"/>
            <w:vAlign w:val="center"/>
            <w:shd w:fill="F8FBFD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空泛</w:t>
            </w:r>
          </w:p>
        </w:tc>
      </w:tr>
      <w:tr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趋势判断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能联系地方实践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有趋势描述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6" w:space="0" w:color="D9E2EC"/>
              <w:left w:val="single" w:sz="6" w:space="0" w:color="D9E2EC"/>
              <w:bottom w:val="single" w:sz="6" w:space="0" w:color="D9E2EC"/>
              <w:right w:val="single" w:sz="6" w:space="0" w:color="D9E2EC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8"/>
              </w:rPr>
              <w:t>脱离场景</w:t>
            </w:r>
          </w:p>
        </w:tc>
      </w:tr>
    </w:tbl>
    <w:p/>
    <w:p>
      <w:pPr>
        <w:pStyle w:val="Heading2"/>
      </w:pPr>
      <w:r>
        <w:t>附录：出版前质量核验清单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1. 核验安顺屯堡文化、贵州非遗、传统村落、文博场馆等案例的事实、名称和授权。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2. 核验涉及政策法规的最新正式文本。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3. 核验图片、模型、音视频和AIGC生成内容的版权与授权边界。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4. 补充图表编号、数据来源、案例来源和参考文献。</w:t>
      </w:r>
    </w:p>
    <w:p>
      <w:pPr>
        <w:ind w:firstLine="0" w:left="283"/>
      </w:pPr>
      <w:r>
        <w:rPr>
          <w:rFonts w:ascii="Times New Roman" w:hAnsi="Times New Roman" w:eastAsia="宋体"/>
          <w:sz w:val="20"/>
        </w:rPr>
        <w:t>5. 对涉及社区、传承人和敏感文化知识的内容进行伦理审查。</w:t>
      </w:r>
    </w:p>
    <w:sectPr w:rsidR="00FC693F" w:rsidRPr="0006063C" w:rsidSect="00034616">
      <w:pgSz w:w="11906" w:h="16838"/>
      <w:pgMar w:top="1417" w:right="1361" w:bottom="1304" w:left="1474" w:header="68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第 </w:t>
      <w:fldChar w:fldCharType="begin"/>
      <w:instrText xml:space="preserve">PAGE</w:instrText>
      <w:fldChar w:fldCharType="end"/>
    </w:r>
    <w: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color w:val="646464"/>
        <w:sz w:val="18"/>
      </w:rPr>
      <w:t>文化遗产数字化保护与利用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 w:after="60"/>
      <w:ind w:firstLine="420"/>
    </w:pPr>
    <w:rPr>
      <w:rFonts w:ascii="Times New Roman" w:hAnsi="Times New Roman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2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color w:val="1F4E79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color w:val="2F5597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20"/>
      <w:outlineLvl w:val="2"/>
    </w:pPr>
    <w:rPr>
      <w:rFonts w:asciiTheme="majorHAnsi" w:eastAsiaTheme="majorEastAsia" w:hAnsiTheme="majorHAnsi" w:cstheme="majorBidi" w:ascii="Times New Roman" w:hAnsi="Times New Roman" w:eastAsia="楷体"/>
      <w:b/>
      <w:bCs/>
      <w:color w:val="40404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160"/>
      <w:contextualSpacing/>
    </w:pPr>
    <w:rPr>
      <w:rFonts w:asciiTheme="majorHAnsi" w:eastAsiaTheme="majorEastAsia" w:hAnsiTheme="majorHAnsi" w:cstheme="majorBidi" w:ascii="Times New Roman" w:hAnsi="Times New Roman" w:eastAsia="黑体"/>
      <w:b/>
      <w:color w:val="1F4E79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文化遗产数字化保护与利用（结构图技术路线增强版）</dc:title>
  <dc:subject>增补全文结构图与技术路线图</dc:subject>
  <dc:creator>python-docx</dc:creator>
  <cp:keywords/>
  <dc:description>基于IMA原稿制作的非覆盖副本；未改变原始正文与表格。</dc:description>
  <cp:lastModifiedBy/>
  <cp:revision>1</cp:revision>
  <dcterms:created xsi:type="dcterms:W3CDTF">2013-12-23T23:15:00Z</dcterms:created>
  <dcterms:modified xsi:type="dcterms:W3CDTF">2026-08-03T12:31:52Z</dcterms:modified>
  <cp:category/>
</cp:coreProperties>
</file>