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icrosoft YaHei" w:hAnsi="Microsoft YaHei"/>
          <w:b/>
          <w:color w:val="0E6E7A"/>
          <w:sz w:val="40"/>
          <a:ea xmlns:a="http://schemas.openxmlformats.org/drawingml/2006/main" typeface="Microsoft YaHei"/>
          <a:cs xmlns:a="http://schemas.openxmlformats.org/drawingml/2006/main" typeface="Microsoft YaHei"/>
        </w:rPr>
        <w:t>《文旅主理人》课程大纲说明</w:t>
      </w:r>
    </w:p>
    <w:p>
      <w:pPr>
        <w:jc w:val="center"/>
      </w:pPr>
      <w:r>
        <w:rPr>
          <w:rFonts w:ascii="Microsoft YaHei" w:hAnsi="Microsoft YaHei"/>
          <w:b w:val="0"/>
          <w:color w:val="6B7A80"/>
          <w:sz w:val="21"/>
          <a:ea xmlns:a="http://schemas.openxmlformats.org/drawingml/2006/main" typeface="Microsoft YaHei"/>
          <a:cs xmlns:a="http://schemas.openxmlformats.org/drawingml/2006/main" typeface="Microsoft YaHei"/>
        </w:rPr>
        <w:t>旅游管理本科三年级专业课 ｜ 共 7 章 ｜ 34 学时 ｜ 课件 305 页</w:t>
      </w:r>
    </w:p>
    <w:p>
      <w:pPr>
        <w:pStyle w:val="Heading1"/>
      </w:pPr>
      <w:r>
        <w:rPr>
          <w:rFonts w:ascii="Microsoft YaHei" w:hAnsi="Microsoft YaHei"/>
          <w:b/>
          <w:color w:val="0E6E7A"/>
          <w:sz w:val="28"/>
          <a:ea xmlns:a="http://schemas.openxmlformats.org/drawingml/2006/main" typeface="Microsoft YaHei"/>
          <a:cs xmlns:a="http://schemas.openxmlformats.org/drawingml/2006/main" typeface="Microsoft YaHei"/>
        </w:rPr>
        <w:t>一、课程基本信息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1814"/>
            <w:shd w:fill="0E6E7A"/>
          </w:tcPr>
          <w:p>
            <w:r>
              <w:rPr>
                <w:color w:val="FFFFFF"/>
              </w:rPr>
            </w:r>
            <w:r>
              <w:rPr>
                <w:rFonts w:ascii="Microsoft YaHei" w:hAnsi="Microsoft YaHei"/>
                <w:b/>
                <w:sz w:val="20"/>
                <a:ea xmlns:a="http://schemas.openxmlformats.org/drawingml/2006/main" typeface="Microsoft YaHei"/>
                <a:cs xmlns:a="http://schemas.openxmlformats.org/drawingml/2006/main" typeface="Microsoft YaHei"/>
              </w:rPr>
              <w:t>项目</w:t>
            </w:r>
          </w:p>
        </w:tc>
        <w:tc>
          <w:tcPr>
            <w:tcW w:type="dxa" w:w="7257"/>
            <w:shd w:fill="0E6E7A"/>
          </w:tcPr>
          <w:p>
            <w:r>
              <w:rPr>
                <w:color w:val="FFFFFF"/>
              </w:rPr>
            </w:r>
            <w:r>
              <w:rPr>
                <w:rFonts w:ascii="Microsoft YaHei" w:hAnsi="Microsoft YaHei"/>
                <w:b/>
                <w:sz w:val="20"/>
                <a:ea xmlns:a="http://schemas.openxmlformats.org/drawingml/2006/main" typeface="Microsoft YaHei"/>
                <a:cs xmlns:a="http://schemas.openxmlformats.org/drawingml/2006/main" typeface="Microsoft YaHei"/>
              </w:rPr>
              <w:t>内容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课程名称</w:t>
            </w:r>
          </w:p>
        </w:tc>
        <w:tc>
          <w:tcPr>
            <w:tcW w:type="dxa" w:w="7257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文旅主理人（Cultural Tourism Curator）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课程性质</w:t>
            </w:r>
          </w:p>
        </w:tc>
        <w:tc>
          <w:tcPr>
            <w:tcW w:type="dxa" w:w="7257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旅游管理本科专业选修课 / 方向课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授课对象</w:t>
            </w:r>
          </w:p>
        </w:tc>
        <w:tc>
          <w:tcPr>
            <w:tcW w:type="dxa" w:w="7257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旅游管理本科三年级（建议先修：旅游学概论、旅游目的地管理、旅游心理学）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学分与学时</w:t>
            </w:r>
          </w:p>
        </w:tc>
        <w:tc>
          <w:tcPr>
            <w:tcW w:type="dxa" w:w="7257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2 学分，34 学时（建议 17 周 × 2 学时，另含课外实践不少于 20 学时）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课程定位</w:t>
            </w:r>
          </w:p>
        </w:tc>
        <w:tc>
          <w:tcPr>
            <w:tcW w:type="dxa" w:w="7257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以「认知—能力—方法—实战」递进为主线，培养能独立策划并运营文旅项目的复合型人才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教学方法</w:t>
            </w:r>
          </w:p>
        </w:tc>
        <w:tc>
          <w:tcPr>
            <w:tcW w:type="dxa" w:w="7257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案例教学 + 项目式学习（PBL）+ 现场勘踏 + 路演答辩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主要成果</w:t>
            </w:r>
          </w:p>
        </w:tc>
        <w:tc>
          <w:tcPr>
            <w:tcW w:type="dxa" w:w="7257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七章课件（共 305 页）+ 学生项目包 + 12 页路演 deck</w:t>
            </w:r>
          </w:p>
        </w:tc>
      </w:tr>
    </w:tbl>
    <w:p/>
    <w:p>
      <w:pPr>
        <w:pStyle w:val="Heading1"/>
      </w:pPr>
      <w:r>
        <w:rPr>
          <w:rFonts w:ascii="Microsoft YaHei" w:hAnsi="Microsoft YaHei"/>
          <w:b/>
          <w:color w:val="0E6E7A"/>
          <w:sz w:val="28"/>
          <a:ea xmlns:a="http://schemas.openxmlformats.org/drawingml/2006/main" typeface="Microsoft YaHei"/>
          <a:cs xmlns:a="http://schemas.openxmlformats.org/drawingml/2006/main" typeface="Microsoft YaHei"/>
        </w:rPr>
        <w:t>二、课程目标</w:t>
      </w:r>
    </w:p>
    <w:p>
      <w:pPr>
        <w:pStyle w:val="ListBullet"/>
      </w:pPr>
      <w:r>
        <w:rPr>
          <w:rFonts w:ascii="Microsoft YaHei" w:hAnsi="Microsoft YaHei"/>
          <w:b w:val="0"/>
          <w:sz w:val="21"/>
          <a:ea xmlns:a="http://schemas.openxmlformats.org/drawingml/2006/main" typeface="Microsoft YaHei"/>
          <a:cs xmlns:a="http://schemas.openxmlformats.org/drawingml/2006/main" typeface="Microsoft YaHei"/>
        </w:rPr>
        <w:t>知识目标：建立文旅产业的结构化认知，掌握洞察、内容、产品、商业、风控与 AI 应用六类方法框架。</w:t>
      </w:r>
    </w:p>
    <w:p>
      <w:pPr>
        <w:pStyle w:val="ListBullet"/>
      </w:pPr>
      <w:r>
        <w:rPr>
          <w:rFonts w:ascii="Microsoft YaHei" w:hAnsi="Microsoft YaHei"/>
          <w:b w:val="0"/>
          <w:sz w:val="21"/>
          <a:ea xmlns:a="http://schemas.openxmlformats.org/drawingml/2006/main" typeface="Microsoft YaHei"/>
          <a:cs xmlns:a="http://schemas.openxmlformats.org/drawingml/2006/main" typeface="Microsoft YaHei"/>
        </w:rPr>
        <w:t>能力目标：能独立完成一次用户研究、一份内容策划、一套体验设计与一份可核查的商业测算。</w:t>
      </w:r>
    </w:p>
    <w:p>
      <w:pPr>
        <w:pStyle w:val="ListBullet"/>
      </w:pPr>
      <w:r>
        <w:rPr>
          <w:rFonts w:ascii="Microsoft YaHei" w:hAnsi="Microsoft YaHei"/>
          <w:b w:val="0"/>
          <w:sz w:val="21"/>
          <a:ea xmlns:a="http://schemas.openxmlformats.org/drawingml/2006/main" typeface="Microsoft YaHei"/>
          <a:cs xmlns:a="http://schemas.openxmlformats.org/drawingml/2006/main" typeface="Microsoft YaHei"/>
        </w:rPr>
        <w:t>方法目标：养成「先找一手资料、再下判断」的证据习惯，能识别数据口径陷阱与 AI 幻觉。</w:t>
      </w:r>
    </w:p>
    <w:p>
      <w:pPr>
        <w:pStyle w:val="ListBullet"/>
      </w:pPr>
      <w:r>
        <w:rPr>
          <w:rFonts w:ascii="Microsoft YaHei" w:hAnsi="Microsoft YaHei"/>
          <w:b w:val="0"/>
          <w:sz w:val="21"/>
          <a:ea xmlns:a="http://schemas.openxmlformats.org/drawingml/2006/main" typeface="Microsoft YaHei"/>
          <a:cs xmlns:a="http://schemas.openxmlformats.org/drawingml/2006/main" typeface="Microsoft YaHei"/>
        </w:rPr>
        <w:t>素养目标：理解文旅项目的社会与生态责任，建立真实、负责、透明的职业伦理底线。</w:t>
      </w:r>
    </w:p>
    <w:p>
      <w:pPr>
        <w:pStyle w:val="ListBullet"/>
      </w:pPr>
      <w:r>
        <w:rPr>
          <w:rFonts w:ascii="Microsoft YaHei" w:hAnsi="Microsoft YaHei"/>
          <w:b w:val="0"/>
          <w:sz w:val="21"/>
          <a:ea xmlns:a="http://schemas.openxmlformats.org/drawingml/2006/main" typeface="Microsoft YaHei"/>
          <a:cs xmlns:a="http://schemas.openxmlformats.org/drawingml/2006/main" typeface="Microsoft YaHei"/>
        </w:rPr>
        <w:t>综合目标：以小组为单位完成一个真实可落地的文旅项目，并通过公开路演与答辩。</w:t>
      </w:r>
    </w:p>
    <w:p/>
    <w:p>
      <w:pPr>
        <w:pStyle w:val="Heading1"/>
      </w:pPr>
      <w:r>
        <w:rPr>
          <w:rFonts w:ascii="Microsoft YaHei" w:hAnsi="Microsoft YaHei"/>
          <w:b/>
          <w:color w:val="0E6E7A"/>
          <w:sz w:val="28"/>
          <a:ea xmlns:a="http://schemas.openxmlformats.org/drawingml/2006/main" typeface="Microsoft YaHei"/>
          <a:cs xmlns:a="http://schemas.openxmlformats.org/drawingml/2006/main" typeface="Microsoft YaHei"/>
        </w:rPr>
        <w:t>三、设计理念</w:t>
      </w:r>
    </w:p>
    <w:p>
      <w:pPr>
        <w:pStyle w:val="ListBullet"/>
      </w:pPr>
      <w:r>
        <w:rPr>
          <w:rFonts w:ascii="Microsoft YaHei" w:hAnsi="Microsoft YaHei"/>
          <w:b w:val="0"/>
          <w:sz w:val="21"/>
          <a:ea xmlns:a="http://schemas.openxmlformats.org/drawingml/2006/main" typeface="Microsoft YaHei"/>
          <a:cs xmlns:a="http://schemas.openxmlformats.org/drawingml/2006/main" typeface="Microsoft YaHei"/>
        </w:rPr>
        <w:t>递进结构：第 1—2 章解决「认知」（我是谁、为谁做），第 3—4 章解决「能力」（怎么说、怎么做），第 5—6 章解决「方法」（怎么算、怎么提效），第 7 章完成「实战」。</w:t>
      </w:r>
    </w:p>
    <w:p>
      <w:pPr>
        <w:pStyle w:val="ListBullet"/>
      </w:pPr>
      <w:r>
        <w:rPr>
          <w:rFonts w:ascii="Microsoft YaHei" w:hAnsi="Microsoft YaHei"/>
          <w:b w:val="0"/>
          <w:sz w:val="21"/>
          <a:ea xmlns:a="http://schemas.openxmlformats.org/drawingml/2006/main" typeface="Microsoft YaHei"/>
          <a:cs xmlns:a="http://schemas.openxmlformats.org/drawingml/2006/main" typeface="Microsoft YaHei"/>
        </w:rPr>
        <w:t>产出导向（OBE）：每一章有明确交付物，前一章的产出是后一章的输入，链条不可断裂。</w:t>
      </w:r>
    </w:p>
    <w:p>
      <w:pPr>
        <w:pStyle w:val="ListBullet"/>
      </w:pPr>
      <w:r>
        <w:rPr>
          <w:rFonts w:ascii="Microsoft YaHei" w:hAnsi="Microsoft YaHei"/>
          <w:b w:val="0"/>
          <w:sz w:val="21"/>
          <a:ea xmlns:a="http://schemas.openxmlformats.org/drawingml/2006/main" typeface="Microsoft YaHei"/>
          <a:cs xmlns:a="http://schemas.openxmlformats.org/drawingml/2006/main" typeface="Microsoft YaHei"/>
        </w:rPr>
        <w:t>一致性原则：学习目标、教学活动与考核方式三者对齐——教什么就练什么，练什么就考什么。</w:t>
      </w:r>
    </w:p>
    <w:p>
      <w:pPr>
        <w:pStyle w:val="ListBullet"/>
      </w:pPr>
      <w:r>
        <w:rPr>
          <w:rFonts w:ascii="Microsoft YaHei" w:hAnsi="Microsoft YaHei"/>
          <w:b w:val="0"/>
          <w:sz w:val="21"/>
          <a:ea xmlns:a="http://schemas.openxmlformats.org/drawingml/2006/main" typeface="Microsoft YaHei"/>
          <a:cs xmlns:a="http://schemas.openxmlformats.org/drawingml/2006/main" typeface="Microsoft YaHei"/>
        </w:rPr>
        <w:t>真实约束：所有案例与数据均要求可核查；作业要求真实地点、真实访谈、真实测算，禁止虚构。</w:t>
      </w:r>
    </w:p>
    <w:p>
      <w:pPr>
        <w:pStyle w:val="ListBullet"/>
      </w:pPr>
      <w:r>
        <w:rPr>
          <w:rFonts w:ascii="Microsoft YaHei" w:hAnsi="Microsoft YaHei"/>
          <w:b w:val="0"/>
          <w:sz w:val="21"/>
          <a:ea xmlns:a="http://schemas.openxmlformats.org/drawingml/2006/main" typeface="Microsoft YaHei"/>
          <a:cs xmlns:a="http://schemas.openxmlformats.org/drawingml/2006/main" typeface="Microsoft YaHei"/>
        </w:rPr>
        <w:t>AI 融合：AI 作为效率工具贯穿全流程，但明确规定核查纪律与伦理红线，而非放任使用。</w:t>
      </w:r>
    </w:p>
    <w:p/>
    <w:p>
      <w:pPr>
        <w:pStyle w:val="Heading1"/>
      </w:pPr>
      <w:r>
        <w:rPr>
          <w:rFonts w:ascii="Microsoft YaHei" w:hAnsi="Microsoft YaHei"/>
          <w:b/>
          <w:color w:val="0E6E7A"/>
          <w:sz w:val="28"/>
          <a:ea xmlns:a="http://schemas.openxmlformats.org/drawingml/2006/main" typeface="Microsoft YaHei"/>
          <a:cs xmlns:a="http://schemas.openxmlformats.org/drawingml/2006/main" typeface="Microsoft YaHei"/>
        </w:rPr>
        <w:t>四、章节安排总表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04"/>
        <w:gridCol w:w="1904"/>
        <w:gridCol w:w="1904"/>
        <w:gridCol w:w="1904"/>
        <w:gridCol w:w="1904"/>
      </w:tblGrid>
      <w:tr>
        <w:tc>
          <w:tcPr>
            <w:tcW w:type="dxa" w:w="510"/>
            <w:shd w:fill="0E6E7A"/>
          </w:tcPr>
          <w:p>
            <w:r>
              <w:rPr>
                <w:color w:val="FFFFFF"/>
              </w:rPr>
            </w:r>
            <w:r>
              <w:rPr>
                <w:rFonts w:ascii="Microsoft YaHei" w:hAnsi="Microsoft YaHei"/>
                <w:b/>
                <w:sz w:val="20"/>
                <a:ea xmlns:a="http://schemas.openxmlformats.org/drawingml/2006/main" typeface="Microsoft YaHei"/>
                <a:cs xmlns:a="http://schemas.openxmlformats.org/drawingml/2006/main" typeface="Microsoft YaHei"/>
              </w:rPr>
              <w:t>章</w:t>
            </w:r>
          </w:p>
        </w:tc>
        <w:tc>
          <w:tcPr>
            <w:tcW w:type="dxa" w:w="2041"/>
            <w:shd w:fill="0E6E7A"/>
          </w:tcPr>
          <w:p>
            <w:r>
              <w:rPr>
                <w:color w:val="FFFFFF"/>
              </w:rPr>
            </w:r>
            <w:r>
              <w:rPr>
                <w:rFonts w:ascii="Microsoft YaHei" w:hAnsi="Microsoft YaHei"/>
                <w:b/>
                <w:sz w:val="20"/>
                <a:ea xmlns:a="http://schemas.openxmlformats.org/drawingml/2006/main" typeface="Microsoft YaHei"/>
                <a:cs xmlns:a="http://schemas.openxmlformats.org/drawingml/2006/main" typeface="Microsoft YaHei"/>
              </w:rPr>
              <w:t>主题</w:t>
            </w:r>
          </w:p>
        </w:tc>
        <w:tc>
          <w:tcPr>
            <w:tcW w:type="dxa" w:w="567"/>
            <w:shd w:fill="0E6E7A"/>
          </w:tcPr>
          <w:p>
            <w:r>
              <w:rPr>
                <w:color w:val="FFFFFF"/>
              </w:rPr>
            </w:r>
            <w:r>
              <w:rPr>
                <w:rFonts w:ascii="Microsoft YaHei" w:hAnsi="Microsoft YaHei"/>
                <w:b/>
                <w:sz w:val="20"/>
                <a:ea xmlns:a="http://schemas.openxmlformats.org/drawingml/2006/main" typeface="Microsoft YaHei"/>
                <a:cs xmlns:a="http://schemas.openxmlformats.org/drawingml/2006/main" typeface="Microsoft YaHei"/>
              </w:rPr>
              <w:t>学时</w:t>
            </w:r>
          </w:p>
        </w:tc>
        <w:tc>
          <w:tcPr>
            <w:tcW w:type="dxa" w:w="3572"/>
            <w:shd w:fill="0E6E7A"/>
          </w:tcPr>
          <w:p>
            <w:r>
              <w:rPr>
                <w:color w:val="FFFFFF"/>
              </w:rPr>
            </w:r>
            <w:r>
              <w:rPr>
                <w:rFonts w:ascii="Microsoft YaHei" w:hAnsi="Microsoft YaHei"/>
                <w:b/>
                <w:sz w:val="20"/>
                <a:ea xmlns:a="http://schemas.openxmlformats.org/drawingml/2006/main" typeface="Microsoft YaHei"/>
                <a:cs xmlns:a="http://schemas.openxmlformats.org/drawingml/2006/main" typeface="Microsoft YaHei"/>
              </w:rPr>
              <w:t>核心问题</w:t>
            </w:r>
          </w:p>
        </w:tc>
        <w:tc>
          <w:tcPr>
            <w:tcW w:type="dxa" w:w="2381"/>
            <w:shd w:fill="0E6E7A"/>
          </w:tcPr>
          <w:p>
            <w:r>
              <w:rPr>
                <w:color w:val="FFFFFF"/>
              </w:rPr>
            </w:r>
            <w:r>
              <w:rPr>
                <w:rFonts w:ascii="Microsoft YaHei" w:hAnsi="Microsoft YaHei"/>
                <w:b/>
                <w:sz w:val="20"/>
                <a:ea xmlns:a="http://schemas.openxmlformats.org/drawingml/2006/main" typeface="Microsoft YaHei"/>
                <a:cs xmlns:a="http://schemas.openxmlformats.org/drawingml/2006/main" typeface="Microsoft YaHei"/>
              </w:rPr>
              <w:t>主要产出</w:t>
            </w:r>
          </w:p>
        </w:tc>
      </w:tr>
      <w:tr>
        <w:tc>
          <w:tcPr>
            <w:tcW w:type="dxa" w:w="510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1</w:t>
            </w:r>
          </w:p>
        </w:tc>
        <w:tc>
          <w:tcPr>
            <w:tcW w:type="dxa" w:w="2041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文旅主理人的角色定位与职业图谱</w:t>
            </w:r>
          </w:p>
        </w:tc>
        <w:tc>
          <w:tcPr>
            <w:tcW w:type="dxa" w:w="567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4</w:t>
            </w:r>
          </w:p>
        </w:tc>
        <w:tc>
          <w:tcPr>
            <w:tcW w:type="dxa" w:w="3572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这个行业有哪些位置？我要成为哪一种人？</w:t>
            </w:r>
          </w:p>
        </w:tc>
        <w:tc>
          <w:tcPr>
            <w:tcW w:type="dxa" w:w="2381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职业定位卡、家乡诊断卡</w:t>
            </w:r>
          </w:p>
        </w:tc>
      </w:tr>
      <w:tr>
        <w:tc>
          <w:tcPr>
            <w:tcW w:type="dxa" w:w="510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2</w:t>
            </w:r>
          </w:p>
        </w:tc>
        <w:tc>
          <w:tcPr>
            <w:tcW w:type="dxa" w:w="2041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目的地洞察与用户研究</w:t>
            </w:r>
          </w:p>
        </w:tc>
        <w:tc>
          <w:tcPr>
            <w:tcW w:type="dxa" w:w="567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4</w:t>
            </w:r>
          </w:p>
        </w:tc>
        <w:tc>
          <w:tcPr>
            <w:tcW w:type="dxa" w:w="3572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我为谁做？我凭什么这么判断？</w:t>
            </w:r>
          </w:p>
        </w:tc>
        <w:tc>
          <w:tcPr>
            <w:tcW w:type="dxa" w:w="2381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洞察输出包、用户画像卡</w:t>
            </w:r>
          </w:p>
        </w:tc>
      </w:tr>
      <w:tr>
        <w:tc>
          <w:tcPr>
            <w:tcW w:type="dxa" w:w="510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3</w:t>
            </w:r>
          </w:p>
        </w:tc>
        <w:tc>
          <w:tcPr>
            <w:tcW w:type="dxa" w:w="2041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内容策划与叙事表达</w:t>
            </w:r>
          </w:p>
        </w:tc>
        <w:tc>
          <w:tcPr>
            <w:tcW w:type="dxa" w:w="567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4</w:t>
            </w:r>
          </w:p>
        </w:tc>
        <w:tc>
          <w:tcPr>
            <w:tcW w:type="dxa" w:w="3572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怎么说他才听得进去、来了愿意讲？</w:t>
            </w:r>
          </w:p>
        </w:tc>
        <w:tc>
          <w:tcPr>
            <w:tcW w:type="dxa" w:w="2381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选题库、一句话主张、30 秒脚本</w:t>
            </w:r>
          </w:p>
        </w:tc>
      </w:tr>
      <w:tr>
        <w:tc>
          <w:tcPr>
            <w:tcW w:type="dxa" w:w="510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4</w:t>
            </w:r>
          </w:p>
        </w:tc>
        <w:tc>
          <w:tcPr>
            <w:tcW w:type="dxa" w:w="2041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产品设计与体验运营</w:t>
            </w:r>
          </w:p>
        </w:tc>
        <w:tc>
          <w:tcPr>
            <w:tcW w:type="dxa" w:w="567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6</w:t>
            </w:r>
          </w:p>
        </w:tc>
        <w:tc>
          <w:tcPr>
            <w:tcW w:type="dxa" w:w="3572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来了之后到底发生什么？怎么持续运转？</w:t>
            </w:r>
          </w:p>
        </w:tc>
        <w:tc>
          <w:tcPr>
            <w:tcW w:type="dxa" w:w="2381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触点表、SOP、体验蓝图</w:t>
            </w:r>
          </w:p>
        </w:tc>
      </w:tr>
      <w:tr>
        <w:tc>
          <w:tcPr>
            <w:tcW w:type="dxa" w:w="510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5</w:t>
            </w:r>
          </w:p>
        </w:tc>
        <w:tc>
          <w:tcPr>
            <w:tcW w:type="dxa" w:w="2041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商业模式、成本结构与风险控制</w:t>
            </w:r>
          </w:p>
        </w:tc>
        <w:tc>
          <w:tcPr>
            <w:tcW w:type="dxa" w:w="567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4</w:t>
            </w:r>
          </w:p>
        </w:tc>
        <w:tc>
          <w:tcPr>
            <w:tcW w:type="dxa" w:w="3572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钱从哪来、漏在哪、什么时候会断？</w:t>
            </w:r>
          </w:p>
        </w:tc>
        <w:tc>
          <w:tcPr>
            <w:tcW w:type="dxa" w:w="2381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商业模式画布、三档测算、风险清单</w:t>
            </w:r>
          </w:p>
        </w:tc>
      </w:tr>
      <w:tr>
        <w:tc>
          <w:tcPr>
            <w:tcW w:type="dxa" w:w="510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6</w:t>
            </w:r>
          </w:p>
        </w:tc>
        <w:tc>
          <w:tcPr>
            <w:tcW w:type="dxa" w:w="2041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AI 工具在文旅场景中的应用</w:t>
            </w:r>
          </w:p>
        </w:tc>
        <w:tc>
          <w:tcPr>
            <w:tcW w:type="dxa" w:w="567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4</w:t>
            </w:r>
          </w:p>
        </w:tc>
        <w:tc>
          <w:tcPr>
            <w:tcW w:type="dxa" w:w="3572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哪些工作可以交给机器？哪些不能？</w:t>
            </w:r>
          </w:p>
        </w:tc>
        <w:tc>
          <w:tcPr>
            <w:tcW w:type="dxa" w:w="2381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个人 AI 工作流、提示词库</w:t>
            </w:r>
          </w:p>
        </w:tc>
      </w:tr>
      <w:tr>
        <w:tc>
          <w:tcPr>
            <w:tcW w:type="dxa" w:w="510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7</w:t>
            </w:r>
          </w:p>
        </w:tc>
        <w:tc>
          <w:tcPr>
            <w:tcW w:type="dxa" w:w="2041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综合实战：从 0 到 1 策划并路演</w:t>
            </w:r>
          </w:p>
        </w:tc>
        <w:tc>
          <w:tcPr>
            <w:tcW w:type="dxa" w:w="567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8</w:t>
            </w:r>
          </w:p>
        </w:tc>
        <w:tc>
          <w:tcPr>
            <w:tcW w:type="dxa" w:w="3572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这套方案能不能站上台、经得起追问？</w:t>
            </w:r>
          </w:p>
        </w:tc>
        <w:tc>
          <w:tcPr>
            <w:tcW w:type="dxa" w:w="2381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完整项目包、12 页 deck、路演答辩</w:t>
            </w:r>
          </w:p>
        </w:tc>
      </w:tr>
    </w:tbl>
    <w:p/>
    <w:p>
      <w:pPr>
        <w:pStyle w:val="Heading1"/>
      </w:pPr>
      <w:r>
        <w:rPr>
          <w:rFonts w:ascii="Microsoft YaHei" w:hAnsi="Microsoft YaHei"/>
          <w:b/>
          <w:color w:val="0E6E7A"/>
          <w:sz w:val="28"/>
          <a:ea xmlns:a="http://schemas.openxmlformats.org/drawingml/2006/main" typeface="Microsoft YaHei"/>
          <a:cs xmlns:a="http://schemas.openxmlformats.org/drawingml/2006/main" typeface="Microsoft YaHei"/>
        </w:rPr>
        <w:t>五、各章教学内容要点</w:t>
      </w:r>
    </w:p>
    <w:p>
      <w:pPr>
        <w:pStyle w:val="ListBullet"/>
      </w:pPr>
      <w:r>
        <w:rPr>
          <w:rFonts w:ascii="Microsoft YaHei" w:hAnsi="Microsoft YaHei"/>
          <w:b w:val="0"/>
          <w:sz w:val="21"/>
          <a:ea xmlns:a="http://schemas.openxmlformats.org/drawingml/2006/main" typeface="Microsoft YaHei"/>
          <a:cs xmlns:a="http://schemas.openxmlformats.org/drawingml/2006/main" typeface="Microsoft YaHei"/>
        </w:rPr>
        <w:t>第 1 章：主理人定义与五重身份（观察者—编剧—导演—掌柜—家长）；五步工作环；产业链三段与三类组织；案例为阿那亚、乌镇、上海迪士尼，新案例为万岁山、天水、阿勒泰、村超与苏超。</w:t>
      </w:r>
    </w:p>
    <w:p>
      <w:pPr>
        <w:pStyle w:val="ListBullet"/>
      </w:pPr>
      <w:r>
        <w:rPr>
          <w:rFonts w:ascii="Microsoft YaHei" w:hAnsi="Microsoft YaHei"/>
          <w:b w:val="0"/>
          <w:sz w:val="21"/>
          <a:ea xmlns:a="http://schemas.openxmlformats.org/drawingml/2006/main" typeface="Microsoft YaHei"/>
          <a:cs xmlns:a="http://schemas.openxmlformats.org/drawingml/2006/main" typeface="Microsoft YaHei"/>
        </w:rPr>
        <w:t>第 2 章：宏观—中观—微观三层洞察；四类数据来源与口径纪律；资源五维评估矩阵；决策链五角色；画像卡八字段；需求三层次；访谈、问卷、观察三种方法与选择矩阵。</w:t>
      </w:r>
    </w:p>
    <w:p>
      <w:pPr>
        <w:pStyle w:val="ListBullet"/>
      </w:pPr>
      <w:r>
        <w:rPr>
          <w:rFonts w:ascii="Microsoft YaHei" w:hAnsi="Microsoft YaHei"/>
          <w:b w:val="0"/>
          <w:sz w:val="21"/>
          <a:ea xmlns:a="http://schemas.openxmlformats.org/drawingml/2006/main" typeface="Microsoft YaHei"/>
          <a:cs xmlns:a="http://schemas.openxmlformats.org/drawingml/2006/main" typeface="Microsoft YaHei"/>
        </w:rPr>
        <w:t>第 3 章：内容三层次与四形态；好内容四判据；选题三来源、五步流程与六项评分；三种叙事结构；叙事三要素；一句话主张模板；标题改写；视觉三原则。</w:t>
      </w:r>
    </w:p>
    <w:p>
      <w:pPr>
        <w:pStyle w:val="ListBullet"/>
      </w:pPr>
      <w:r>
        <w:rPr>
          <w:rFonts w:ascii="Microsoft YaHei" w:hAnsi="Microsoft YaHei"/>
          <w:b w:val="0"/>
          <w:sz w:val="21"/>
          <a:ea xmlns:a="http://schemas.openxmlformats.org/drawingml/2006/main" typeface="Microsoft YaHei"/>
          <a:cs xmlns:a="http://schemas.openxmlformats.org/drawingml/2006/main" typeface="Microsoft YaHei"/>
        </w:rPr>
        <w:t>第 4 章：产品四要素；全旅程六阶段与触点表；峰终定律；体验设计五原则；五感设计；参与度四级阶梯；SOP 编写；运营四对象；容量、排队、客诉、二消与复购。</w:t>
      </w:r>
    </w:p>
    <w:p>
      <w:pPr>
        <w:pStyle w:val="ListBullet"/>
      </w:pPr>
      <w:r>
        <w:rPr>
          <w:rFonts w:ascii="Microsoft YaHei" w:hAnsi="Microsoft YaHei"/>
          <w:b w:val="0"/>
          <w:sz w:val="21"/>
          <a:ea xmlns:a="http://schemas.openxmlformats.org/drawingml/2006/main" typeface="Microsoft YaHei"/>
          <a:cs xmlns:a="http://schemas.openxmlformats.org/drawingml/2006/main" typeface="Microsoft YaHei"/>
        </w:rPr>
        <w:t>第 5 章：文旅版商业模式画布；四种收入模式；定价三法；单位经济模型与盈亏平衡；成本三类与重资产陷阱；现金流与三档测算；风险四类与风险矩阵；财务健康五信号。</w:t>
      </w:r>
    </w:p>
    <w:p>
      <w:pPr>
        <w:pStyle w:val="ListBullet"/>
      </w:pPr>
      <w:r>
        <w:rPr>
          <w:rFonts w:ascii="Microsoft YaHei" w:hAnsi="Microsoft YaHei"/>
          <w:b w:val="0"/>
          <w:sz w:val="21"/>
          <a:ea xmlns:a="http://schemas.openxmlformats.org/drawingml/2006/main" typeface="Microsoft YaHei"/>
          <a:cs xmlns:a="http://schemas.openxmlformats.org/drawingml/2006/main" typeface="Microsoft YaHei"/>
        </w:rPr>
        <w:t>第 6 章：AI 能力边界；提示词六要素；幻觉识别与事实核查四步法；选题、文案、视觉、数据四类实操；AI 腔识别与改写；工作流搭建；伦理五原则。</w:t>
      </w:r>
    </w:p>
    <w:p>
      <w:pPr>
        <w:pStyle w:val="ListBullet"/>
      </w:pPr>
      <w:r>
        <w:rPr>
          <w:rFonts w:ascii="Microsoft YaHei" w:hAnsi="Microsoft YaHei"/>
          <w:b w:val="0"/>
          <w:sz w:val="21"/>
          <a:ea xmlns:a="http://schemas.openxmlformats.org/drawingml/2006/main" typeface="Microsoft YaHei"/>
          <a:cs xmlns:a="http://schemas.openxmlformats.org/drawingml/2006/main" typeface="Microsoft YaHei"/>
        </w:rPr>
        <w:t>第 7 章：项目七步法；12 页路演 deck 结构；开场 30 秒；数据呈现原则；答辩应对四原则；评分量规与同伴评审；复盘四问。</w:t>
      </w:r>
    </w:p>
    <w:p/>
    <w:p>
      <w:pPr>
        <w:pStyle w:val="Heading1"/>
      </w:pPr>
      <w:r>
        <w:rPr>
          <w:rFonts w:ascii="Microsoft YaHei" w:hAnsi="Microsoft YaHei"/>
          <w:b/>
          <w:color w:val="0E6E7A"/>
          <w:sz w:val="28"/>
          <a:ea xmlns:a="http://schemas.openxmlformats.org/drawingml/2006/main" typeface="Microsoft YaHei"/>
          <a:cs xmlns:a="http://schemas.openxmlformats.org/drawingml/2006/main" typeface="Microsoft YaHei"/>
        </w:rPr>
        <w:t>六、案例与数据使用规范</w:t>
      </w:r>
    </w:p>
    <w:p>
      <w:pPr>
        <w:pStyle w:val="ListBullet"/>
      </w:pPr>
      <w:r>
        <w:rPr>
          <w:rFonts w:ascii="Microsoft YaHei" w:hAnsi="Microsoft YaHei"/>
          <w:b w:val="0"/>
          <w:sz w:val="21"/>
          <a:ea xmlns:a="http://schemas.openxmlformats.org/drawingml/2006/main" typeface="Microsoft YaHei"/>
          <a:cs xmlns:a="http://schemas.openxmlformats.org/drawingml/2006/main" typeface="Microsoft YaHei"/>
        </w:rPr>
        <w:t>案例构成：经典案例（阿那亚、乌镇、上海迪士尼）+ 近两年国内新案例（万岁山、天水、阿勒泰、村超、苏超）。</w:t>
      </w:r>
    </w:p>
    <w:p>
      <w:pPr>
        <w:pStyle w:val="ListBullet"/>
      </w:pPr>
      <w:r>
        <w:rPr>
          <w:rFonts w:ascii="Microsoft YaHei" w:hAnsi="Microsoft YaHei"/>
          <w:b w:val="0"/>
          <w:sz w:val="21"/>
          <a:ea xmlns:a="http://schemas.openxmlformats.org/drawingml/2006/main" typeface="Microsoft YaHei"/>
          <a:cs xmlns:a="http://schemas.openxmlformats.org/drawingml/2006/main" typeface="Microsoft YaHei"/>
        </w:rPr>
        <w:t>数据要求：每个引用数据必须标明数值、来源、时间与口径；无法确认四项之一的数据不得作为论据。</w:t>
      </w:r>
    </w:p>
    <w:p>
      <w:pPr>
        <w:pStyle w:val="ListBullet"/>
      </w:pPr>
      <w:r>
        <w:rPr>
          <w:rFonts w:ascii="Microsoft YaHei" w:hAnsi="Microsoft YaHei"/>
          <w:b w:val="0"/>
          <w:sz w:val="21"/>
          <a:ea xmlns:a="http://schemas.openxmlformats.org/drawingml/2006/main" typeface="Microsoft YaHei"/>
          <a:cs xmlns:a="http://schemas.openxmlformats.org/drawingml/2006/main" typeface="Microsoft YaHei"/>
        </w:rPr>
        <w:t>主要数据来源：文化和旅游部年度与半年度统计、中国旅游研究院年度报告、上市公司年报（如中青旅 600138）、TEA 全球体验报告、地方政府与景区公开经营数据。</w:t>
      </w:r>
    </w:p>
    <w:p>
      <w:pPr>
        <w:pStyle w:val="ListBullet"/>
      </w:pPr>
      <w:r>
        <w:rPr>
          <w:rFonts w:ascii="Microsoft YaHei" w:hAnsi="Microsoft YaHei"/>
          <w:b w:val="0"/>
          <w:sz w:val="21"/>
          <a:ea xmlns:a="http://schemas.openxmlformats.org/drawingml/2006/main" typeface="Microsoft YaHei"/>
          <a:cs xmlns:a="http://schemas.openxmlformats.org/drawingml/2006/main" typeface="Microsoft YaHei"/>
        </w:rPr>
        <w:t>课堂纪律：鼓励学生现场核查数据；凡发现课件数据有误并举证者，计入平时分加分。</w:t>
      </w:r>
    </w:p>
    <w:p>
      <w:pPr>
        <w:pStyle w:val="ListBullet"/>
      </w:pPr>
      <w:r>
        <w:rPr>
          <w:rFonts w:ascii="Microsoft YaHei" w:hAnsi="Microsoft YaHei"/>
          <w:b w:val="0"/>
          <w:sz w:val="21"/>
          <a:ea xmlns:a="http://schemas.openxmlformats.org/drawingml/2006/main" typeface="Microsoft YaHei"/>
          <a:cs xmlns:a="http://schemas.openxmlformats.org/drawingml/2006/main" typeface="Microsoft YaHei"/>
        </w:rPr>
        <w:t>AI 使用政策：允许并鼓励使用 AI 辅助选题、文案、视觉与数据分析，但所有 AI 产出必须经人工核查，并在作业中披露使用范围。</w:t>
      </w:r>
    </w:p>
    <w:p/>
    <w:p>
      <w:pPr>
        <w:pStyle w:val="Heading1"/>
      </w:pPr>
      <w:r>
        <w:rPr>
          <w:rFonts w:ascii="Microsoft YaHei" w:hAnsi="Microsoft YaHei"/>
          <w:b/>
          <w:color w:val="0E6E7A"/>
          <w:sz w:val="28"/>
          <a:ea xmlns:a="http://schemas.openxmlformats.org/drawingml/2006/main" typeface="Microsoft YaHei"/>
          <a:cs xmlns:a="http://schemas.openxmlformats.org/drawingml/2006/main" typeface="Microsoft YaHei"/>
        </w:rPr>
        <w:t>七、考核方式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c>
          <w:tcPr>
            <w:tcW w:type="dxa" w:w="1701"/>
            <w:shd w:fill="0E6E7A"/>
          </w:tcPr>
          <w:p>
            <w:r>
              <w:rPr>
                <w:color w:val="FFFFFF"/>
              </w:rPr>
            </w:r>
            <w:r>
              <w:rPr>
                <w:rFonts w:ascii="Microsoft YaHei" w:hAnsi="Microsoft YaHei"/>
                <w:b/>
                <w:sz w:val="20"/>
                <a:ea xmlns:a="http://schemas.openxmlformats.org/drawingml/2006/main" typeface="Microsoft YaHei"/>
                <a:cs xmlns:a="http://schemas.openxmlformats.org/drawingml/2006/main" typeface="Microsoft YaHei"/>
              </w:rPr>
              <w:t>考核项</w:t>
            </w:r>
          </w:p>
        </w:tc>
        <w:tc>
          <w:tcPr>
            <w:tcW w:type="dxa" w:w="907"/>
            <w:shd w:fill="0E6E7A"/>
          </w:tcPr>
          <w:p>
            <w:r>
              <w:rPr>
                <w:color w:val="FFFFFF"/>
              </w:rPr>
            </w:r>
            <w:r>
              <w:rPr>
                <w:rFonts w:ascii="Microsoft YaHei" w:hAnsi="Microsoft YaHei"/>
                <w:b/>
                <w:sz w:val="20"/>
                <a:ea xmlns:a="http://schemas.openxmlformats.org/drawingml/2006/main" typeface="Microsoft YaHei"/>
                <a:cs xmlns:a="http://schemas.openxmlformats.org/drawingml/2006/main" typeface="Microsoft YaHei"/>
              </w:rPr>
              <w:t>权重</w:t>
            </w:r>
          </w:p>
        </w:tc>
        <w:tc>
          <w:tcPr>
            <w:tcW w:type="dxa" w:w="6463"/>
            <w:shd w:fill="0E6E7A"/>
          </w:tcPr>
          <w:p>
            <w:r>
              <w:rPr>
                <w:color w:val="FFFFFF"/>
              </w:rPr>
            </w:r>
            <w:r>
              <w:rPr>
                <w:rFonts w:ascii="Microsoft YaHei" w:hAnsi="Microsoft YaHei"/>
                <w:b/>
                <w:sz w:val="20"/>
                <a:ea xmlns:a="http://schemas.openxmlformats.org/drawingml/2006/main" typeface="Microsoft YaHei"/>
                <a:cs xmlns:a="http://schemas.openxmlformats.org/drawingml/2006/main" typeface="Microsoft YaHei"/>
              </w:rPr>
              <w:t>考核要点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平时作业（第 1—6 章交付物）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40%</w:t>
            </w:r>
          </w:p>
        </w:tc>
        <w:tc>
          <w:tcPr>
            <w:tcW w:type="dxa" w:w="6463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六项交付物各占一定权重，重点考察证据充分性与可核查性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小组项目包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20%</w:t>
            </w:r>
          </w:p>
        </w:tc>
        <w:tc>
          <w:tcPr>
            <w:tcW w:type="dxa" w:w="6463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洞察、定位、产品、商业、风险五部分的完整度与逻辑一致性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路演与答辩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25%</w:t>
            </w:r>
          </w:p>
        </w:tc>
        <w:tc>
          <w:tcPr>
            <w:tcW w:type="dxa" w:w="6463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结构表达、数据呈现、问答应对与团队协作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同伴评审与个人反思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15%</w:t>
            </w:r>
          </w:p>
        </w:tc>
        <w:tc>
          <w:tcPr>
            <w:tcW w:type="dxa" w:w="6463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评审反馈的具体性与有用性；个人复盘四问的深度</w:t>
            </w:r>
          </w:p>
        </w:tc>
      </w:tr>
    </w:tbl>
    <w:p/>
    <w:p>
      <w:pPr>
        <w:pStyle w:val="Heading1"/>
      </w:pPr>
      <w:r>
        <w:rPr>
          <w:rFonts w:ascii="Microsoft YaHei" w:hAnsi="Microsoft YaHei"/>
          <w:b/>
          <w:color w:val="0E6E7A"/>
          <w:sz w:val="28"/>
          <a:ea xmlns:a="http://schemas.openxmlformats.org/drawingml/2006/main" typeface="Microsoft YaHei"/>
          <a:cs xmlns:a="http://schemas.openxmlformats.org/drawingml/2006/main" typeface="Microsoft YaHei"/>
        </w:rPr>
        <w:t>八、教学进度建议（17 周 × 2 学时）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c>
          <w:tcPr>
            <w:tcW w:type="dxa" w:w="794"/>
            <w:shd w:fill="0E6E7A"/>
          </w:tcPr>
          <w:p>
            <w:r>
              <w:rPr>
                <w:color w:val="FFFFFF"/>
              </w:rPr>
            </w:r>
            <w:r>
              <w:rPr>
                <w:rFonts w:ascii="Microsoft YaHei" w:hAnsi="Microsoft YaHei"/>
                <w:b/>
                <w:sz w:val="20"/>
                <a:ea xmlns:a="http://schemas.openxmlformats.org/drawingml/2006/main" typeface="Microsoft YaHei"/>
                <a:cs xmlns:a="http://schemas.openxmlformats.org/drawingml/2006/main" typeface="Microsoft YaHei"/>
              </w:rPr>
              <w:t>周次</w:t>
            </w:r>
          </w:p>
        </w:tc>
        <w:tc>
          <w:tcPr>
            <w:tcW w:type="dxa" w:w="3175"/>
            <w:shd w:fill="0E6E7A"/>
          </w:tcPr>
          <w:p>
            <w:r>
              <w:rPr>
                <w:color w:val="FFFFFF"/>
              </w:rPr>
            </w:r>
            <w:r>
              <w:rPr>
                <w:rFonts w:ascii="Microsoft YaHei" w:hAnsi="Microsoft YaHei"/>
                <w:b/>
                <w:sz w:val="20"/>
                <a:ea xmlns:a="http://schemas.openxmlformats.org/drawingml/2006/main" typeface="Microsoft YaHei"/>
                <a:cs xmlns:a="http://schemas.openxmlformats.org/drawingml/2006/main" typeface="Microsoft YaHei"/>
              </w:rPr>
              <w:t>内容</w:t>
            </w:r>
          </w:p>
        </w:tc>
        <w:tc>
          <w:tcPr>
            <w:tcW w:type="dxa" w:w="5102"/>
            <w:shd w:fill="0E6E7A"/>
          </w:tcPr>
          <w:p>
            <w:r>
              <w:rPr>
                <w:color w:val="FFFFFF"/>
              </w:rPr>
            </w:r>
            <w:r>
              <w:rPr>
                <w:rFonts w:ascii="Microsoft YaHei" w:hAnsi="Microsoft YaHei"/>
                <w:b/>
                <w:sz w:val="20"/>
                <a:ea xmlns:a="http://schemas.openxmlformats.org/drawingml/2006/main" typeface="Microsoft YaHei"/>
                <a:cs xmlns:a="http://schemas.openxmlformats.org/drawingml/2006/main" typeface="Microsoft YaHei"/>
              </w:rPr>
              <w:t>课外任务</w:t>
            </w:r>
          </w:p>
        </w:tc>
      </w:tr>
      <w:tr>
        <w:tc>
          <w:tcPr>
            <w:tcW w:type="dxa" w:w="794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1—2</w:t>
            </w:r>
          </w:p>
        </w:tc>
        <w:tc>
          <w:tcPr>
            <w:tcW w:type="dxa" w:w="3175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第 1 章 角色定位与职业图谱</w:t>
            </w:r>
          </w:p>
        </w:tc>
        <w:tc>
          <w:tcPr>
            <w:tcW w:type="dxa" w:w="5102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完成职业定位卡与家乡目的地诊断卡</w:t>
            </w:r>
          </w:p>
        </w:tc>
      </w:tr>
      <w:tr>
        <w:tc>
          <w:tcPr>
            <w:tcW w:type="dxa" w:w="794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3—4</w:t>
            </w:r>
          </w:p>
        </w:tc>
        <w:tc>
          <w:tcPr>
            <w:tcW w:type="dxa" w:w="3175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第 2 章 目的地洞察与用户研究</w:t>
            </w:r>
          </w:p>
        </w:tc>
        <w:tc>
          <w:tcPr>
            <w:tcW w:type="dxa" w:w="5102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完成 ≥10 人访谈、2 个竞品拆解、洞察输出包</w:t>
            </w:r>
          </w:p>
        </w:tc>
      </w:tr>
      <w:tr>
        <w:tc>
          <w:tcPr>
            <w:tcW w:type="dxa" w:w="794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5—6</w:t>
            </w:r>
          </w:p>
        </w:tc>
        <w:tc>
          <w:tcPr>
            <w:tcW w:type="dxa" w:w="3175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第 3 章 内容策划与叙事表达</w:t>
            </w:r>
          </w:p>
        </w:tc>
        <w:tc>
          <w:tcPr>
            <w:tcW w:type="dxa" w:w="5102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完成 20 条选题库、一句话主张、30 秒脚本</w:t>
            </w:r>
          </w:p>
        </w:tc>
      </w:tr>
      <w:tr>
        <w:tc>
          <w:tcPr>
            <w:tcW w:type="dxa" w:w="794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7—9</w:t>
            </w:r>
          </w:p>
        </w:tc>
        <w:tc>
          <w:tcPr>
            <w:tcW w:type="dxa" w:w="3175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第 4 章 产品设计与体验运营</w:t>
            </w:r>
          </w:p>
        </w:tc>
        <w:tc>
          <w:tcPr>
            <w:tcW w:type="dxa" w:w="5102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完成触点表、SOP、体验蓝图，含一次实地勘踏</w:t>
            </w:r>
          </w:p>
        </w:tc>
      </w:tr>
      <w:tr>
        <w:tc>
          <w:tcPr>
            <w:tcW w:type="dxa" w:w="794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10—11</w:t>
            </w:r>
          </w:p>
        </w:tc>
        <w:tc>
          <w:tcPr>
            <w:tcW w:type="dxa" w:w="3175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第 5 章 商业、成本与风控</w:t>
            </w:r>
          </w:p>
        </w:tc>
        <w:tc>
          <w:tcPr>
            <w:tcW w:type="dxa" w:w="5102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完成商业模式画布、三档测算、风险清单</w:t>
            </w:r>
          </w:p>
        </w:tc>
      </w:tr>
      <w:tr>
        <w:tc>
          <w:tcPr>
            <w:tcW w:type="dxa" w:w="794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12—13</w:t>
            </w:r>
          </w:p>
        </w:tc>
        <w:tc>
          <w:tcPr>
            <w:tcW w:type="dxa" w:w="3175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第 6 章 AI 工具应用</w:t>
            </w:r>
          </w:p>
        </w:tc>
        <w:tc>
          <w:tcPr>
            <w:tcW w:type="dxa" w:w="5102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建立个人工作流与提示词库（≥8 条）</w:t>
            </w:r>
          </w:p>
        </w:tc>
      </w:tr>
      <w:tr>
        <w:tc>
          <w:tcPr>
            <w:tcW w:type="dxa" w:w="794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14—16</w:t>
            </w:r>
          </w:p>
        </w:tc>
        <w:tc>
          <w:tcPr>
            <w:tcW w:type="dxa" w:w="3175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第 7 章 综合实战（含中期汇报）</w:t>
            </w:r>
          </w:p>
        </w:tc>
        <w:tc>
          <w:tcPr>
            <w:tcW w:type="dxa" w:w="5102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完成项目包与 12 页 deck，两次计时演练</w:t>
            </w:r>
          </w:p>
        </w:tc>
      </w:tr>
      <w:tr>
        <w:tc>
          <w:tcPr>
            <w:tcW w:type="dxa" w:w="794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17</w:t>
            </w:r>
          </w:p>
        </w:tc>
        <w:tc>
          <w:tcPr>
            <w:tcW w:type="dxa" w:w="3175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公开路演与答辩、课程复盘</w:t>
            </w:r>
          </w:p>
        </w:tc>
        <w:tc>
          <w:tcPr>
            <w:tcW w:type="dxa" w:w="5102"/>
          </w:tcPr>
          <w:p>
            <w:r/>
            <w:r>
              <w:rPr>
                <w:rFonts w:ascii="Microsoft YaHei" w:hAnsi="Microsoft YaHei"/>
                <w:b w:val="0"/>
                <w:sz w:val="19"/>
                <a:ea xmlns:a="http://schemas.openxmlformats.org/drawingml/2006/main" typeface="Microsoft YaHei"/>
                <a:cs xmlns:a="http://schemas.openxmlformats.org/drawingml/2006/main" typeface="Microsoft YaHei"/>
              </w:rPr>
              <w:t>提交个人反思（复盘四问，400 字）</w:t>
            </w:r>
          </w:p>
        </w:tc>
      </w:tr>
    </w:tbl>
    <w:p/>
    <w:p>
      <w:pPr>
        <w:pStyle w:val="Heading1"/>
      </w:pPr>
      <w:r>
        <w:rPr>
          <w:rFonts w:ascii="Microsoft YaHei" w:hAnsi="Microsoft YaHei"/>
          <w:b/>
          <w:color w:val="0E6E7A"/>
          <w:sz w:val="28"/>
          <a:ea xmlns:a="http://schemas.openxmlformats.org/drawingml/2006/main" typeface="Microsoft YaHei"/>
          <a:cs xmlns:a="http://schemas.openxmlformats.org/drawingml/2006/main" typeface="Microsoft YaHei"/>
        </w:rPr>
        <w:t>九、教学建议与常见问题</w:t>
      </w:r>
    </w:p>
    <w:p>
      <w:pPr>
        <w:pStyle w:val="ListBullet"/>
      </w:pPr>
      <w:r>
        <w:rPr>
          <w:rFonts w:ascii="Microsoft YaHei" w:hAnsi="Microsoft YaHei"/>
          <w:b w:val="0"/>
          <w:sz w:val="21"/>
          <a:ea xmlns:a="http://schemas.openxmlformats.org/drawingml/2006/main" typeface="Microsoft YaHei"/>
          <a:cs xmlns:a="http://schemas.openxmlformats.org/drawingml/2006/main" typeface="Microsoft YaHei"/>
        </w:rPr>
        <w:t>建议 1：第 2 章的访谈作业必须在第 3 周前完成，否则后续章节缺少一手资料，课堂练习无法进行。</w:t>
      </w:r>
    </w:p>
    <w:p>
      <w:pPr>
        <w:pStyle w:val="ListBullet"/>
      </w:pPr>
      <w:r>
        <w:rPr>
          <w:rFonts w:ascii="Microsoft YaHei" w:hAnsi="Microsoft YaHei"/>
          <w:b w:val="0"/>
          <w:sz w:val="21"/>
          <a:ea xmlns:a="http://schemas.openxmlformats.org/drawingml/2006/main" typeface="Microsoft YaHei"/>
          <a:cs xmlns:a="http://schemas.openxmlformats.org/drawingml/2006/main" typeface="Microsoft YaHei"/>
        </w:rPr>
        <w:t>建议 2：分组建议 4—5 人并强制跨朋友圈组合，真实团队不由个人挑选，这一点本身就是学习内容。</w:t>
      </w:r>
    </w:p>
    <w:p>
      <w:pPr>
        <w:pStyle w:val="ListBullet"/>
      </w:pPr>
      <w:r>
        <w:rPr>
          <w:rFonts w:ascii="Microsoft YaHei" w:hAnsi="Microsoft YaHei"/>
          <w:b w:val="0"/>
          <w:sz w:val="21"/>
          <a:ea xmlns:a="http://schemas.openxmlformats.org/drawingml/2006/main" typeface="Microsoft YaHei"/>
          <a:cs xmlns:a="http://schemas.openxmlformats.org/drawingml/2006/main" typeface="Microsoft YaHei"/>
        </w:rPr>
        <w:t>建议 3：中期汇报（第 15 周前后）不可省略——它能把「期末才发现方案不成立」的风险提前三周暴露。</w:t>
      </w:r>
    </w:p>
    <w:p>
      <w:pPr>
        <w:pStyle w:val="ListBullet"/>
      </w:pPr>
      <w:r>
        <w:rPr>
          <w:rFonts w:ascii="Microsoft YaHei" w:hAnsi="Microsoft YaHei"/>
          <w:b w:val="0"/>
          <w:sz w:val="21"/>
          <a:ea xmlns:a="http://schemas.openxmlformats.org/drawingml/2006/main" typeface="Microsoft YaHei"/>
          <a:cs xmlns:a="http://schemas.openxmlformats.org/drawingml/2006/main" typeface="Microsoft YaHei"/>
        </w:rPr>
        <w:t>常见问题 1：学生习惯用形容词写方案。对策：强制使用「换地名测试」，换掉地名仍成立的即为废话。</w:t>
      </w:r>
    </w:p>
    <w:p>
      <w:pPr>
        <w:pStyle w:val="ListBullet"/>
      </w:pPr>
      <w:r>
        <w:rPr>
          <w:rFonts w:ascii="Microsoft YaHei" w:hAnsi="Microsoft YaHei"/>
          <w:b w:val="0"/>
          <w:sz w:val="21"/>
          <a:ea xmlns:a="http://schemas.openxmlformats.org/drawingml/2006/main" typeface="Microsoft YaHei"/>
          <a:cs xmlns:a="http://schemas.openxmlformats.org/drawingml/2006/main" typeface="Microsoft YaHei"/>
        </w:rPr>
        <w:t>常见问题 2：学生只做乐观档测算。对策：缺少保守档的方案在评审中直接判定不合格。</w:t>
      </w:r>
    </w:p>
    <w:p>
      <w:pPr>
        <w:pStyle w:val="ListBullet"/>
      </w:pPr>
      <w:r>
        <w:rPr>
          <w:rFonts w:ascii="Microsoft YaHei" w:hAnsi="Microsoft YaHei"/>
          <w:b w:val="0"/>
          <w:sz w:val="21"/>
          <a:ea xmlns:a="http://schemas.openxmlformats.org/drawingml/2006/main" typeface="Microsoft YaHei"/>
          <a:cs xmlns:a="http://schemas.openxmlformats.org/drawingml/2006/main" typeface="Microsoft YaHei"/>
        </w:rPr>
        <w:t>常见问题 3：学生过度依赖 AI 生成内容。对策：要求每条 AI 产出附核查记录，发现虚构即扣分。</w:t>
      </w:r>
    </w:p>
    <w:p>
      <w:pPr>
        <w:pStyle w:val="ListBullet"/>
      </w:pPr>
      <w:r>
        <w:rPr>
          <w:rFonts w:ascii="Microsoft YaHei" w:hAnsi="Microsoft YaHei"/>
          <w:b w:val="0"/>
          <w:sz w:val="21"/>
          <a:ea xmlns:a="http://schemas.openxmlformats.org/drawingml/2006/main" typeface="Microsoft YaHei"/>
          <a:cs xmlns:a="http://schemas.openxmlformats.org/drawingml/2006/main" typeface="Microsoft YaHei"/>
        </w:rPr>
        <w:t>常见问题 4：路演超时。对策：提前公布 12 分钟时间分配表，演练严格计时，超时强制打断。</w:t>
      </w:r>
    </w:p>
    <w:p/>
    <w:p>
      <w:pPr>
        <w:pStyle w:val="Heading1"/>
      </w:pPr>
      <w:r>
        <w:rPr>
          <w:rFonts w:ascii="Microsoft YaHei" w:hAnsi="Microsoft YaHei"/>
          <w:b/>
          <w:color w:val="0E6E7A"/>
          <w:sz w:val="28"/>
          <a:ea xmlns:a="http://schemas.openxmlformats.org/drawingml/2006/main" typeface="Microsoft YaHei"/>
          <a:cs xmlns:a="http://schemas.openxmlformats.org/drawingml/2006/main" typeface="Microsoft YaHei"/>
        </w:rPr>
        <w:t>十、课件与配套资源</w:t>
      </w:r>
    </w:p>
    <w:p>
      <w:pPr>
        <w:pStyle w:val="ListBullet"/>
      </w:pPr>
      <w:r>
        <w:rPr>
          <w:rFonts w:ascii="Microsoft YaHei" w:hAnsi="Microsoft YaHei"/>
          <w:b w:val="0"/>
          <w:sz w:val="21"/>
          <a:ea xmlns:a="http://schemas.openxmlformats.org/drawingml/2006/main" typeface="Microsoft YaHei"/>
          <a:cs xmlns:a="http://schemas.openxmlformats.org/drawingml/2006/main" typeface="Microsoft YaHei"/>
        </w:rPr>
        <w:t>课件：7 个独立 PPT，共 305 页，每页含标题、要点、配图建议与讲师备注，视觉风格统一。</w:t>
      </w:r>
    </w:p>
    <w:p>
      <w:pPr>
        <w:pStyle w:val="ListBullet"/>
      </w:pPr>
      <w:r>
        <w:rPr>
          <w:rFonts w:ascii="Microsoft YaHei" w:hAnsi="Microsoft YaHei"/>
          <w:b w:val="0"/>
          <w:sz w:val="21"/>
          <a:ea xmlns:a="http://schemas.openxmlformats.org/drawingml/2006/main" typeface="Microsoft YaHei"/>
          <a:cs xmlns:a="http://schemas.openxmlformats.org/drawingml/2006/main" typeface="Microsoft YaHei"/>
        </w:rPr>
        <w:t>配套工具表：选题评估表、竞品拆解表、用户画像卡、触点表、SOP 模板、单位经济模型、三档测算表、风险矩阵、提示词模板、评分量规。</w:t>
      </w:r>
    </w:p>
    <w:p>
      <w:pPr>
        <w:pStyle w:val="ListBullet"/>
      </w:pPr>
      <w:r>
        <w:rPr>
          <w:rFonts w:ascii="Microsoft YaHei" w:hAnsi="Microsoft YaHei"/>
          <w:b w:val="0"/>
          <w:sz w:val="21"/>
          <a:ea xmlns:a="http://schemas.openxmlformats.org/drawingml/2006/main" typeface="Microsoft YaHei"/>
          <a:cs xmlns:a="http://schemas.openxmlformats.org/drawingml/2006/main" typeface="Microsoft YaHei"/>
        </w:rPr>
        <w:t>数据底稿：文化和旅游部 2024 年度与 2025 年上半年统计、中国旅游研究院入境游报告、中青旅年报、TEA 报告。</w:t>
      </w:r>
    </w:p>
    <w:p>
      <w:pPr>
        <w:pStyle w:val="ListBullet"/>
      </w:pPr>
      <w:r>
        <w:rPr>
          <w:rFonts w:ascii="Microsoft YaHei" w:hAnsi="Microsoft YaHei"/>
          <w:b w:val="0"/>
          <w:sz w:val="21"/>
          <a:ea xmlns:a="http://schemas.openxmlformats.org/drawingml/2006/main" typeface="Microsoft YaHei"/>
          <a:cs xmlns:a="http://schemas.openxmlformats.org/drawingml/2006/main" typeface="Microsoft YaHei"/>
        </w:rPr>
        <w:t>在线资源：课件与大纲已发布至个人网站，可在线浏览与下载。</w:t>
      </w:r>
    </w:p>
    <w:p>
      <w:pPr>
        <w:pStyle w:val="ListBullet"/>
      </w:pPr>
      <w:r>
        <w:rPr>
          <w:rFonts w:ascii="Microsoft YaHei" w:hAnsi="Microsoft YaHei"/>
          <w:b w:val="0"/>
          <w:sz w:val="21"/>
          <a:ea xmlns:a="http://schemas.openxmlformats.org/drawingml/2006/main" typeface="Microsoft YaHei"/>
          <a:cs xmlns:a="http://schemas.openxmlformats.org/drawingml/2006/main" typeface="Microsoft YaHei"/>
        </w:rPr>
        <w:t>说明：本大纲为教学设计草稿，学时分配、考核权重与案例选择需结合本校培养方案与授课班级实际调整。</w:t>
      </w:r>
    </w:p>
    <w:p/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