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mc:Ignorable="w14 w15 wp14">
  <w:body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/>
      </w:r>
    </w:p>
    <w:p>
      <w:pPr>
        <w:spacing w:before="400" w:line="20" w:lineRule="exact"/>
      </w:pPr>
    </w:p>
    <w:p>
      <w:pPr>
        <w:spacing w:after="200"/>
        <w:jc w:val="center"/>
      </w:pPr>
      <w:r>
        <w:rPr>
          <w:rFonts w:ascii="Microsoft YaHei" w:cs="Microsoft YaHei" w:eastAsia="Microsoft YaHei" w:hAnsi="Microsoft YaHei"/>
          <w:color w:val="0E7490"/>
          <w:sz w:val="24"/>
          <w:szCs w:val="24"/>
        </w:rPr>
        <w:t xml:space="preserve">GUIZHOU · SMART TRIP PLANNER</w:t>
      </w:r>
    </w:p>
    <w:p>
      <w:pPr>
        <w:spacing w:after="120"/>
        <w:jc w:val="center"/>
      </w:pPr>
      <w:r>
        <w:rPr>
          <w:rFonts w:ascii="Microsoft YaHei" w:cs="Microsoft YaHei" w:eastAsia="Microsoft YaHei" w:hAnsi="Microsoft YaHei"/>
          <w:b/>
          <w:bCs/>
          <w:color w:val="0E7490"/>
          <w:sz w:val="52"/>
          <w:szCs w:val="52"/>
        </w:rPr>
        <w:t xml:space="preserve">黔行 · 贵州智能行程助手</w:t>
      </w:r>
    </w:p>
    <w:p>
      <w:pPr>
        <w:spacing w:after="600"/>
        <w:jc w:val="center"/>
      </w:pPr>
      <w:r>
        <w:rPr>
          <w:rFonts w:ascii="Microsoft YaHei" w:cs="Microsoft YaHei" w:eastAsia="Microsoft YaHei" w:hAnsi="Microsoft YaHei"/>
          <w:color w:val="333333"/>
          <w:sz w:val="30"/>
          <w:szCs w:val="30"/>
        </w:rPr>
        <w:t xml:space="preserve">功能说明文档</w:t>
      </w:r>
    </w:p>
    <w:p>
      <w:pPr>
        <w:spacing/>
        <w:jc w:val="center"/>
      </w:pPr>
      <w:r>
        <w:drawing>
          <wp:inline distT="0" distB="0" distL="0" distR="0">
            <wp:extent cx="4381500" cy="2476500"/>
            <wp:effectExtent t="0" r="0" b="0" l="0"/>
            <wp:docPr id="1" name="" descr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0" w:line="20" w:lineRule="exact"/>
      </w:pP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color w:val="6B7280"/>
          <w:sz w:val="22"/>
          <w:szCs w:val="22"/>
        </w:rPr>
        <w:t xml:space="preserve">本地行程引擎 × DeepSeek AI 个性化 × 15 部文旅宣传片</w:t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280"/>
          <w:sz w:val="20"/>
          <w:szCs w:val="20"/>
        </w:rPr>
        <w:t xml:space="preserve">zgdgt.cn/guizhou-trip/</w:t>
      </w:r>
    </w:p>
    <w:p>
      <w:pPr>
        <w:spacing w:before="300"/>
        <w:jc w:val="center"/>
      </w:pPr>
      <w:r>
        <w:rPr>
          <w:rFonts w:ascii="Microsoft YaHei" w:cs="Microsoft YaHei" w:eastAsia="Microsoft YaHei" w:hAnsi="Microsoft YaHei"/>
          <w:color w:val="9CA3AF"/>
          <w:sz w:val="18"/>
          <w:szCs w:val="18"/>
        </w:rPr>
        <w:t xml:space="preserve">安顺学院 旅游管理学院 · 数字文旅交互实验作品</w:t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cols w:num="1"/>
          <w:docGrid w:linePitch="360"/>
        </w:sectPr>
      </w:pPr>
    </w:p>
    <w:p>
      <w:pPr>
        <w:pStyle w:val="Heading1"/>
        <w:keepNext/>
        <w:keepLines/>
        <w:spacing w:after="200" w:before="360"/>
        <w:jc w:val="center"/>
      </w:pPr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目  录</w:t>
      </w:r>
    </w:p>
    <w:p>
      <w:pPr>
        <w:spacing w:before="200" w:line="20" w:lineRule="exact"/>
      </w:pPr>
    </w:p>
    <w:sdt>
      <w:sdtPr>
        <w:alias w:val="目录"/>
      </w:sdtPr>
      <w:sdtContent>
        <w:p>
          <w:pPr>
            <w:pStyle w:val="TOC1"/>
          </w:pPr>
          <w:r>
            <w:fldChar w:fldCharType="begin" w:dirty="true"/>
            <w:instrText xml:space="preserve">TOC \h \o "1-3"</w:instrText>
            <w:fldChar w:fldCharType="separate"/>
          </w:r>
          <w:hyperlink w:history="1" w:anchor="_toc_auto_1">
            <w:r>
              <w:t xml:space="default">一、项目概述</w:t>
            </w:r>
          </w:hyperlink>
        </w:p>
        <w:p>
          <w:pPr>
            <w:pStyle w:val="TOC2"/>
          </w:pPr>
          <w:hyperlink w:history="1" w:anchor="_toc_auto_2">
            <w:r>
              <w:t xml:space="default">1.1 访问方式</w:t>
            </w:r>
          </w:hyperlink>
        </w:p>
        <w:p>
          <w:pPr>
            <w:pStyle w:val="TOC2"/>
          </w:pPr>
          <w:hyperlink w:history="1" w:anchor="_toc_auto_3">
            <w:r>
              <w:t xml:space="default">1.2 功能矩阵</w:t>
            </w:r>
          </w:hyperlink>
        </w:p>
        <w:p>
          <w:pPr>
            <w:pStyle w:val="TOC1"/>
          </w:pPr>
          <w:hyperlink w:history="1" w:anchor="_toc_auto_4">
            <w:r>
              <w:t xml:space="default">二、本地行程引擎</w:t>
            </w:r>
          </w:hyperlink>
        </w:p>
        <w:p>
          <w:pPr>
            <w:pStyle w:val="TOC2"/>
          </w:pPr>
          <w:hyperlink w:history="1" w:anchor="_toc_auto_5">
            <w:r>
              <w:t xml:space="default">2.1 交互流程</w:t>
            </w:r>
          </w:hyperlink>
        </w:p>
        <w:p>
          <w:pPr>
            <w:pStyle w:val="TOC2"/>
          </w:pPr>
          <w:hyperlink w:history="1" w:anchor="_toc_auto_6">
            <w:r>
              <w:t xml:space="default">2.2 算法设计</w:t>
            </w:r>
          </w:hyperlink>
        </w:p>
        <w:p>
          <w:pPr>
            <w:pStyle w:val="TOC1"/>
          </w:pPr>
          <w:hyperlink w:history="1" w:anchor="_toc_auto_7">
            <w:r>
              <w:t xml:space="default">三、DeepSeek AI 个性化引擎</w:t>
            </w:r>
          </w:hyperlink>
        </w:p>
        <w:p>
          <w:pPr>
            <w:pStyle w:val="TOC2"/>
          </w:pPr>
          <w:hyperlink w:history="1" w:anchor="_toc_auto_8">
            <w:r>
              <w:t xml:space="default">3.1 双入口设计</w:t>
            </w:r>
          </w:hyperlink>
        </w:p>
        <w:p>
          <w:pPr>
            <w:pStyle w:val="TOC2"/>
          </w:pPr>
          <w:hyperlink w:history="1" w:anchor="_toc_auto_9">
            <w:r>
              <w:t xml:space="default">3.2 上下文注入与状态反馈</w:t>
            </w:r>
          </w:hyperlink>
        </w:p>
        <w:p>
          <w:pPr>
            <w:pStyle w:val="TOC2"/>
          </w:pPr>
          <w:hyperlink w:history="1" w:anchor="_toc_auto_10">
            <w:r>
              <w:t xml:space="default">3.3 流式渲染与 Markdown 支持</w:t>
            </w:r>
          </w:hyperlink>
        </w:p>
        <w:p>
          <w:pPr>
            <w:pStyle w:val="TOC2"/>
          </w:pPr>
          <w:hyperlink w:history="1" w:anchor="_toc_auto_11">
            <w:r>
              <w:t xml:space="default">3.4 密钥安全模式</w:t>
            </w:r>
          </w:hyperlink>
        </w:p>
        <w:p>
          <w:pPr>
            <w:pStyle w:val="TOC1"/>
          </w:pPr>
          <w:hyperlink w:history="1" w:anchor="_toc_auto_12">
            <w:r>
              <w:t xml:space="default">四、章节式文旅宣传片播放器</w:t>
            </w:r>
          </w:hyperlink>
        </w:p>
        <w:p>
          <w:pPr>
            <w:pStyle w:val="TOC2"/>
          </w:pPr>
          <w:hyperlink w:history="1" w:anchor="_toc_auto_13">
            <w:r>
              <w:t xml:space="default">4.1 影片结构</w:t>
            </w:r>
          </w:hyperlink>
        </w:p>
        <w:p>
          <w:pPr>
            <w:pStyle w:val="TOC2"/>
          </w:pPr>
          <w:hyperlink w:history="1" w:anchor="_toc_auto_14">
            <w:r>
              <w:t xml:space="default">4.2 开场混剪与连播</w:t>
            </w:r>
          </w:hyperlink>
        </w:p>
        <w:p>
          <w:pPr>
            <w:pStyle w:val="TOC2"/>
          </w:pPr>
          <w:hyperlink w:history="1" w:anchor="_toc_auto_15">
            <w:r>
              <w:t xml:space="default">4.3 交互控制</w:t>
            </w:r>
          </w:hyperlink>
        </w:p>
        <w:p>
          <w:pPr>
            <w:pStyle w:val="TOC2"/>
          </w:pPr>
          <w:hyperlink w:history="1" w:anchor="_toc_auto_16">
            <w:r>
              <w:t xml:space="default">4.4 卡片悬停微影片</w:t>
            </w:r>
          </w:hyperlink>
        </w:p>
        <w:p>
          <w:pPr>
            <w:pStyle w:val="TOC1"/>
          </w:pPr>
          <w:hyperlink w:history="1" w:anchor="_toc_auto_17">
            <w:r>
              <w:t xml:space="default">五、技术要点与工程实践</w:t>
            </w:r>
          </w:hyperlink>
        </w:p>
        <w:p>
          <w:pPr>
            <w:pStyle w:val="TOC2"/>
          </w:pPr>
          <w:hyperlink w:history="1" w:anchor="_toc_auto_18">
            <w:r>
              <w:t xml:space="default">5.1 架构特征</w:t>
            </w:r>
          </w:hyperlink>
        </w:p>
        <w:p>
          <w:pPr>
            <w:pStyle w:val="TOC2"/>
          </w:pPr>
          <w:hyperlink w:history="1" w:anchor="_toc_auto_19">
            <w:r>
              <w:t xml:space="default">5.2 质量保障流程</w:t>
            </w:r>
          </w:hyperlink>
        </w:p>
        <w:p>
          <w:pPr>
            <w:pStyle w:val="TOC2"/>
          </w:pPr>
          <w:hyperlink w:history="1" w:anchor="_toc_auto_20">
            <w:r>
              <w:t xml:space="default">5.3 教学场景建议</w:t>
            </w:r>
          </w:hyperlink>
          <w:r>
            <w:fldChar w:fldCharType="end"/>
          </w:r>
        </w:p>
      </w:sdtContent>
    </w:sdt>
    <w:p>
      <w:pPr>
        <w:sectPr>
          <w:headerReference w:type="default" r:id="rId7"/>
          <w:footerReference w:type="default" r:id="rId8"/>
          <w:type w:val="nextPage"/>
          <w:pgSz w:w="12240" w:h="15840" w:orient="portrait"/>
          <w:pgMar w:top="1440" w:right="1440" w:bottom="1440" w:left="1440" w:header="708" w:footer="708" w:gutter="0"/>
          <w:pgNumType w:start="1" w:fmt="upperRoman"/>
          <w:cols w:num="1"/>
          <w:docGrid w:linePitch="360"/>
        </w:sectPr>
      </w:pPr>
    </w:p>
    <w:p>
      <w:pPr>
        <w:pStyle w:val="Heading1"/>
        <w:keepNext/>
        <w:keepLines/>
        <w:spacing w:after="200" w:before="360"/>
      </w:pPr>
      <w:bookmarkStart w:name="_toc_auto_1" w:id="1"/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一、项目概述</w:t>
      </w:r>
      <w:bookmarkEnd w:id="1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「黔行 · 贵州智能行程助手」是面向贵州旅游目的地的纯前端单页应用，围绕"规划—定制—种草"三个旅行决策环节，构建了三位一体的功能矩阵：本地行程生成引擎、DeepSeek AI 个性化引擎、章节式文旅宣传片播放器。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项目定位为数字文旅交互实验作品，可作为《人工智能与旅游创新应用》等课程的智能行程规划教学案例。全站零后端、零外部依赖、无网络追踪，数据均为静态内置，离线亦可运行（AI 与图片资源除外）。</w:t>
      </w:r>
    </w:p>
    <w:p>
      <w:pPr>
        <w:pStyle w:val="Heading2"/>
        <w:keepNext/>
        <w:keepLines/>
        <w:spacing w:after="200" w:before="360"/>
      </w:pPr>
      <w:bookmarkStart w:name="_toc_auto_2" w:id="2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1.1 访问方式</w:t>
      </w:r>
      <w:bookmarkEnd w:id="2"/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线上地址：https://zgdgt.cn/guizhou-trip/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首页入口：「校园交互作品」分组首位卡片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技术形态：单文件 HTML（约 79KB，gzip 后 26KB）+ media/ 目录 15 张 AI 生成主视觉（3.3MB）</w:t>
      </w:r>
    </w:p>
    <w:p>
      <w:pPr>
        <w:pStyle w:val="Heading2"/>
        <w:keepNext/>
        <w:keepLines/>
        <w:spacing w:after="200" w:before="360"/>
      </w:pPr>
      <w:bookmarkStart w:name="_toc_auto_3" w:id="3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1.2 功能矩阵</w:t>
      </w:r>
      <w:bookmarkEnd w:id="3"/>
    </w:p>
    <w:tbl>
      <w:tblPr>
        <w:tblW w:type="dxa" w:w="936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0E749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2"/>
                <w:szCs w:val="22"/>
              </w:rPr>
              <w:t xml:space="preserve">模块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0E749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0E749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2"/>
                <w:szCs w:val="22"/>
              </w:rPr>
              <w:t xml:space="preserve">技术要点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本地行程引擎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3–8 天行程一键生成、区域环线聚类、预算估算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打分排序 + 贪心聚类 + 环线排序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AI 个性化引擎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智能点评、深度定制、多轮追问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DeepSeek chat API 流式 SSE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宣传片播放器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15 部章节式影片、开场混剪、连播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Ken Burns 运镜 + 章节时间轴引擎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目的地数据库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15 景点 × 8 市州，门票/时长/贴士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shd w:fill="F0F9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333333"/>
                <w:sz w:val="22"/>
                <w:szCs w:val="22"/>
              </w:rPr>
              <w:t xml:space="preserve">结构化 DEST 数组驱动全站</w:t>
            </w:r>
          </w:p>
        </w:tc>
      </w:tr>
    </w:tbl>
    <w:p>
      <w:pPr>
        <w:pStyle w:val="Heading1"/>
        <w:keepNext/>
        <w:keepLines/>
        <w:spacing w:after="200" w:before="360"/>
      </w:pPr>
      <w:bookmarkStart w:name="_toc_auto_4" w:id="4"/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二、本地行程引擎</w:t>
      </w:r>
      <w:bookmarkEnd w:id="4"/>
    </w:p>
    <w:p>
      <w:pPr>
        <w:pStyle w:val="Heading2"/>
        <w:keepNext/>
        <w:keepLines/>
        <w:spacing w:after="200" w:before="360"/>
      </w:pPr>
      <w:bookmarkStart w:name="_toc_auto_5" w:id="5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2.1 交互流程</w:t>
      </w:r>
      <w:bookmarkEnd w:id="5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用户经三步完成行程配置：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出行天数（3–8 天），页面提示贵州景点分散、建议 4 天以上；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兴趣偏好（9 类可多选）：山水自然、瀑布溪流、苗族风情、侗族大歌、古镇屯堡、登高徒步、溶洞探秘、美食夜市、人文体验；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旅行节奏（3 档）：慢游度假（每天 1 景）、经典均衡（1–2 景）、特种兵式（2–3 景）。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点击「</w:t>
      </w:r>
      <w:r>
        <w:rPr>
          <w:rFonts w:ascii="Segoe UI Emoji" w:cs="Segoe UI Emoji" w:eastAsia="Segoe UI Emoji" w:hAnsi="Segoe UI Emoji"/>
          <w:color w:val="333333"/>
          <w:sz w:val="22"/>
          <w:szCs w:val="22"/>
        </w:rPr>
        <w:t xml:space="preserve">⚡</w:t>
      </w: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 生成我的黔行路线」后，引擎按"天数为容量、偏好为权重、节奏为密度"计算景点集合，并输出：路线节点流光图（城市序列）、逐日可折叠时间轴（含时段、门票、游览时长、贴士）、区域转场耗时、人均预算估算、交通/住宿/出行锦囊四卡片。</w:t>
      </w:r>
    </w:p>
    <w:p>
      <w:pPr>
        <w:pStyle w:val="Heading2"/>
        <w:keepNext/>
        <w:keepLines/>
        <w:spacing w:after="200" w:before="360"/>
      </w:pPr>
      <w:bookmarkStart w:name="_toc_auto_6" w:id="6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2.2 算法设计</w:t>
      </w:r>
      <w:bookmarkEnd w:id="6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引擎采用「打分排序 + 区域聚类 + 环线优先」三段式策略，避免山地景区间来回折返：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打分排序：兴趣偏好命中每项 +2 分，贵阳落地友好景点（甲秀楼、青岩）额外加成，保障首尾日体验；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区域聚类：贪心选取时，已被选中的同区域景点获得 +2.5 顺路加成，跨远区域（车程 &gt;3.5h）扣分；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环线排序：按"贵阳—安顺—黔西南—毕节—黔南—黔东南—铜仁—遵义"顺时针环线参考序排列，区域切换时自然分日。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「↻ 换一条路线」按钮通过扰动因子改变打分，可在相同条件下生成不同方案；生成次数记录于浏览器 localStorage。</w:t>
      </w:r>
    </w:p>
    <w:p>
      <w:pPr>
        <w:spacing/>
        <w:jc w:val="center"/>
      </w:pPr>
      <w:r>
        <w:drawing>
          <wp:inline distT="0" distB="0" distL="0" distR="0">
            <wp:extent cx="4191000" cy="2362200"/>
            <wp:effectExtent t="0" r="0" b="0" l="0"/>
            <wp:docPr id="1" name="" descr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280"/>
          <w:sz w:val="18"/>
          <w:szCs w:val="18"/>
        </w:rPr>
        <w:t xml:space="preserve">▲ 引擎内置的黄果树瀑布等 15 个目的地均含结构化数据（图为 AI 生成主视觉）</w:t>
      </w:r>
    </w:p>
    <w:p>
      <w:pPr>
        <w:pStyle w:val="Heading1"/>
        <w:keepNext/>
        <w:keepLines/>
        <w:spacing w:after="200" w:before="360"/>
      </w:pPr>
      <w:bookmarkStart w:name="_toc_auto_7" w:id="7"/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三、DeepSeek AI 个性化引擎</w:t>
      </w:r>
      <w:bookmarkEnd w:id="7"/>
    </w:p>
    <w:p>
      <w:pPr>
        <w:pStyle w:val="Heading2"/>
        <w:keepNext/>
        <w:keepLines/>
        <w:spacing w:after="200" w:before="360"/>
      </w:pPr>
      <w:bookmarkStart w:name="_toc_auto_8" w:id="8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3.1 双入口设计</w:t>
      </w:r>
      <w:bookmarkEnd w:id="8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AI 能力深度集成于主流程，而非孤立的聊天窗口：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主按钮同步点评：生成行程时可勾选「同步调用 DeepSeek AI 智能点评」（默认开启），本地引擎出结果的同时，AI 基于完整行程上下文自动输出路线亮点、可优化点、错峰/预约/天气提醒与微调建议；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底部个性化定制模块：支持自由文本输入与六类快捷标签（带老人小孩、摄影出片、预算更省、美食为主、雨天备选、研学亲子），AI 输出逐日调整建议、美食住宿推荐与预算再估算，并支持多轮追问（如"把 D3 换成更轻松点的安排"）。</w:t>
      </w:r>
    </w:p>
    <w:p>
      <w:pPr>
        <w:pStyle w:val="Heading2"/>
        <w:keepNext/>
        <w:keepLines/>
        <w:spacing w:after="200" w:before="360"/>
      </w:pPr>
      <w:bookmarkStart w:name="_toc_auto_9" w:id="9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3.2 上下文注入与状态反馈</w:t>
      </w:r>
      <w:bookmarkEnd w:id="9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每次生成行程后，引擎将逐日景点、门票、时长、偏好、节奏压缩为行程上下文快照，注入统一 System Prompt（角色设定为"贵州省资深旅游规划师"），对话历史全程共享，追问无需重复背景。结果区顶部的状态徽章实时显示五种状态：生成中 / 已完成 / 调用失败 / 未配置 Key / 未启用。</w:t>
      </w:r>
    </w:p>
    <w:p>
      <w:pPr>
        <w:pStyle w:val="Heading2"/>
        <w:keepNext/>
        <w:keepLines/>
        <w:spacing w:after="200" w:before="360"/>
      </w:pPr>
      <w:bookmarkStart w:name="_toc_auto_10" w:id="10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3.3 流式渲染与 Markdown 支持</w:t>
      </w:r>
      <w:bookmarkEnd w:id="10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AI 回复以 SSE 流式逐字渲染，配打字光标。轻量渲染器 mdLite 支持标题、加粗、有序/无序列表、引用块与表格——表格以青色表头、隔行变色样式呈现，移动端可横向滑动。</w:t>
      </w:r>
    </w:p>
    <w:p>
      <w:pPr>
        <w:spacing/>
        <w:jc w:val="center"/>
      </w:pPr>
      <w:r>
        <w:drawing>
          <wp:inline distT="0" distB="0" distL="0" distR="0">
            <wp:extent cx="4191000" cy="2619375"/>
            <wp:effectExtent t="0" r="0" b="0" l="0"/>
            <wp:docPr id="1" name="" descr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280"/>
          <w:sz w:val="18"/>
          <w:szCs w:val="18"/>
        </w:rPr>
        <w:t xml:space="preserve">▲ AI 输出的预算对比表格渲染效果（青色表头 + 隔行变色）</w:t>
      </w:r>
    </w:p>
    <w:p>
      <w:pPr>
        <w:pStyle w:val="Heading2"/>
        <w:keepNext/>
        <w:keepLines/>
        <w:spacing w:after="200" w:before="360"/>
      </w:pPr>
      <w:bookmarkStart w:name="_toc_auto_11" w:id="11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3.4 密钥安全模式</w:t>
      </w:r>
      <w:bookmarkEnd w:id="11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遵循全站惯例，页面不内置任何 API Key：访客在页面内自行填写 DeepSeek Key，仅保存于浏览器 localStorage，请求直连 DeepSeek 官方 API，不经任何中间服务器。该模式无凭据泄露风险，适合公开访问的教学演示场景。</w:t>
      </w:r>
    </w:p>
    <w:p>
      <w:pPr>
        <w:pStyle w:val="Heading1"/>
        <w:keepNext/>
        <w:keepLines/>
        <w:spacing w:after="200" w:before="360"/>
      </w:pPr>
      <w:bookmarkStart w:name="_toc_auto_12" w:id="12"/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四、章节式文旅宣传片播放器</w:t>
      </w:r>
      <w:bookmarkEnd w:id="12"/>
    </w:p>
    <w:p>
      <w:pPr>
        <w:pStyle w:val="Heading2"/>
        <w:keepNext/>
        <w:keepLines/>
        <w:spacing w:after="200" w:before="360"/>
      </w:pPr>
      <w:bookmarkStart w:name="_toc_auto_13" w:id="13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4.1 影片结构</w:t>
      </w:r>
      <w:bookmarkEnd w:id="13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15 个目的地各配一部约 59 秒的章节式宣传片，由数据驱动自动生成：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片头（4.5s）：景区名 + 地理定位，电影级黑边、胶片颗粒与暗角；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四个章节（各 12s）：山水/奇观/文化/锦囊，每章独立运镜（六组 Ken Burns 推拉 + 分区聚焦 + 调色）；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片尾（6s）：品牌落版 + 重播 / 下一站按钮（连播模式自动续播并预加载）。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章节字幕采用打字机逐词浮现效果，锦囊章节以金色徽章呈现门票与预约信息（如梵净山「100 元 + 索道往返 160 · 金顶限流需预约」）。</w:t>
      </w:r>
    </w:p>
    <w:p>
      <w:pPr>
        <w:spacing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280"/>
          <w:sz w:val="18"/>
          <w:szCs w:val="18"/>
        </w:rPr>
        <w:t xml:space="preserve">▲ 梵净山宣传片播放界面（章节字幕 + 分段进度条）</w:t>
      </w:r>
    </w:p>
    <w:p>
      <w:pPr>
        <w:pStyle w:val="Heading2"/>
        <w:keepNext/>
        <w:keepLines/>
        <w:spacing w:after="200" w:before="360"/>
      </w:pPr>
      <w:bookmarkStart w:name="_toc_auto_14" w:id="14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4.2 开场混剪与连播</w:t>
      </w:r>
      <w:bookmarkEnd w:id="14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「</w:t>
      </w:r>
      <w:r>
        <w:rPr>
          <w:rFonts w:ascii="Segoe UI Emoji" w:cs="Segoe UI Emoji" w:eastAsia="Segoe UI Emoji" w:hAnsi="Segoe UI Emoji"/>
          <w:color w:val="333333"/>
          <w:sz w:val="22"/>
          <w:szCs w:val="22"/>
        </w:rPr>
        <w:t xml:space="preserve">▶</w:t>
      </w: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 连播全部宣传片」以 17 秒开场混剪《黔行 · 贵州十五境》启幕：片头卡之后 15 个目的地各 1 秒快闪（换图 + 缓增推近 + 序号计数 + 可选打点音效），全部图片预加载零白屏，结束后无缝衔接首部正片进入 15 部连播队列。</w:t>
      </w:r>
    </w:p>
    <w:p>
      <w:pPr>
        <w:pStyle w:val="Heading2"/>
        <w:keepNext/>
        <w:keepLines/>
        <w:spacing w:after="200" w:before="360"/>
      </w:pPr>
      <w:bookmarkStart w:name="_toc_auto_15" w:id="15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4.3 交互控制</w:t>
      </w:r>
      <w:bookmarkEnd w:id="15"/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播放控制：播放/暂停、上一章/下一章、分段进度条点击跳章；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悬停预览：进度条分段悬停显示章节名气泡；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画面互动：滚轮缩放画面（100%–122%）、单击画面跳下一章、双击进入全屏；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沉浸模式：控制条 3.2 秒无操作自动隐藏，鼠标唤醒；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键盘快捷键：空格播放/暂停，左右方向键跳章，Esc 关闭；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环境音效：WebAudio 合成的山地氛围音（默认静音），切换标签页自动暂停播放。</w:t>
      </w:r>
    </w:p>
    <w:p>
      <w:pPr>
        <w:pStyle w:val="Heading2"/>
        <w:keepNext/>
        <w:keepLines/>
        <w:spacing w:after="200" w:before="360"/>
      </w:pPr>
      <w:bookmarkStart w:name="_toc_auto_16" w:id="16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4.4 卡片悬停微影片</w:t>
      </w:r>
      <w:bookmarkEnd w:id="16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目的地数据库的每张卡片均挂载悬停即预览的微缩影片：悬停 0.3 秒后卡片被微影片覆盖，封面循环呼吸运镜、LIVE 徽章、章节字幕每 2.4 秒轮播，点击直接进入该景点完整宣传片。图片采用懒加载，首次悬停才请求，不增加首屏流量负担。</w:t>
      </w:r>
    </w:p>
    <w:p>
      <w:pPr>
        <w:spacing/>
        <w:jc w:val="center"/>
      </w:pPr>
      <w:r>
        <w:drawing>
          <wp:inline distT="0" distB="0" distL="0" distR="0">
            <wp:extent cx="4191000" cy="2362200"/>
            <wp:effectExtent t="0" r="0" b="0" l="0"/>
            <wp:docPr id="1" name="" descr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280"/>
          <w:sz w:val="18"/>
          <w:szCs w:val="18"/>
        </w:rPr>
        <w:t xml:space="preserve">▲ 西江千户苗寨主视觉（AI 生成，夜景万家灯火）</w:t>
      </w:r>
    </w:p>
    <w:p>
      <w:pPr>
        <w:pStyle w:val="Heading1"/>
        <w:keepNext/>
        <w:keepLines/>
        <w:spacing w:after="200" w:before="360"/>
      </w:pPr>
      <w:bookmarkStart w:name="_toc_auto_17" w:id="17"/>
      <w:r>
        <w:rPr>
          <w:rFonts w:ascii="Microsoft YaHei" w:cs="Microsoft YaHei" w:eastAsia="Microsoft YaHei" w:hAnsi="Microsoft YaHei"/>
          <w:b/>
          <w:bCs/>
          <w:color w:val="0E7490"/>
          <w:sz w:val="36"/>
          <w:szCs w:val="36"/>
        </w:rPr>
        <w:t xml:space="preserve">五、技术要点与工程实践</w:t>
      </w:r>
      <w:bookmarkEnd w:id="17"/>
    </w:p>
    <w:p>
      <w:pPr>
        <w:pStyle w:val="Heading2"/>
        <w:keepNext/>
        <w:keepLines/>
        <w:spacing w:after="200" w:before="360"/>
      </w:pPr>
      <w:bookmarkStart w:name="_toc_auto_18" w:id="18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5.1 架构特征</w:t>
      </w:r>
      <w:bookmarkEnd w:id="18"/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单文件交付：全部逻辑内联于一个 HTML，无构建链路，gzip_static 下首屏传输仅 26KB；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数据驱动：DEST（15 目的地）、FILMS（15 部影片脚本）、MOT（6 组运镜）三组常量驱动全站，扩展新景点只需增补数据；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性能预算：主视觉单图约 230KB（q83 JPEG），懒加载 + 连播预加载策略平衡首屏与流畅度。</w:t>
      </w:r>
    </w:p>
    <w:p>
      <w:pPr>
        <w:pStyle w:val="Heading2"/>
        <w:keepNext/>
        <w:keepLines/>
        <w:spacing w:after="200" w:before="360"/>
      </w:pPr>
      <w:bookmarkStart w:name="_toc_auto_19" w:id="19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5.2 质量保障流程</w:t>
      </w:r>
      <w:bookmarkEnd w:id="19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项目沉淀了完整的上线前检查清单，可作为同类前端项目的参考：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语法检查：提取内联脚本经 node --check 校验（?? 与 || 混用会致整脚本失效，需加括号）；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真实浏览器冒烟：以无头浏览器实点关键路径（生成行程、AI 调用成败路径、播放器全控制项）；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安全扫描：检查密钥、手机号等敏感信息零残留；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原子部署：临时文件上传后 mv 原子替换，nginx 校验后 reload，全量远端备份可回滚。</w:t>
      </w:r>
    </w:p>
    <w:p>
      <w:pPr>
        <w:pStyle w:val="Heading2"/>
        <w:keepNext/>
        <w:keepLines/>
        <w:spacing w:after="200" w:before="360"/>
      </w:pPr>
      <w:bookmarkStart w:name="_toc_auto_20" w:id="20"/>
      <w:r>
        <w:rPr>
          <w:rFonts w:ascii="Microsoft YaHei" w:cs="Microsoft YaHei" w:eastAsia="Microsoft YaHei" w:hAnsi="Microsoft YaHei"/>
          <w:b/>
          <w:bCs/>
          <w:color w:val="0E7490"/>
          <w:sz w:val="30"/>
          <w:szCs w:val="30"/>
        </w:rPr>
        <w:t xml:space="preserve">5.3 教学场景建议</w:t>
      </w:r>
      <w:bookmarkEnd w:id="20"/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本作品覆盖"数据结构设计、贪心算法应用、Web API 调用、多媒体交互、工程部署"完整链路，适合作为：智能行程规划章节的演示案例、前端交互设计的临摹范本、AI API 安全集成（密钥本地化）的正反例讨论素材。</w:t>
      </w:r>
    </w:p>
    <w:sectPr>
      <w:headerReference w:type="default" r:id="rId9"/>
      <w:footerReference w:type="default" r:id="rId10"/>
      <w:type w:val="nextPage"/>
      <w:pgSz w:w="12240" w:h="15840" w:orient="portrait"/>
      <w:pgMar w:top="1440" w:right="1440" w:bottom="1440" w:left="1440" w:header="708" w:footer="708" w:gutter="0"/>
      <w:pgNumType/>
      <w:cols w:num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60" w:line="380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60" w:line="380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60" w:line="380"/>
      <w:jc w:val="center"/>
    </w:pP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黔行·贵州智能行程助手 功能说明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60" w:line="380"/>
      <w:jc w:val="center"/>
    </w:pP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黔行·贵州智能行程助手 功能说明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333333"/>
        <w:sz w:val="22"/>
        <w:szCs w:val="22"/>
      </w:rPr>
    </w:rPrDefault>
    <w:pPrDefault>
      <w:pPr>
        <w:widowControl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pPr>
      <w:outlineLvl w:val="0"/>
    </w:pPr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pPr>
      <w:outlineLvl w:val="1"/>
    </w:pPr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pPr>
      <w:outlineLvl w:val="2"/>
    </w:pPr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200" w:before="360"/>
      <w:outlineLvl w:val="0"/>
    </w:pPr>
    <w:rPr>
      <w:rFonts w:ascii="Microsoft YaHei" w:cs="Microsoft YaHei" w:eastAsia="Microsoft YaHei" w:hAnsi="Microsoft YaHei"/>
      <w:b/>
      <w:bCs/>
      <w:color w:val="0E749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200" w:before="360"/>
      <w:outlineLvl w:val="1"/>
    </w:pPr>
    <w:rPr>
      <w:rFonts w:ascii="Microsoft YaHei" w:cs="Microsoft YaHei" w:eastAsia="Microsoft YaHei" w:hAnsi="Microsoft YaHei"/>
      <w:b/>
      <w:bCs/>
      <w:color w:val="0E7490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keepLines/>
      <w:spacing w:after="200" w:before="360"/>
      <w:outlineLvl w:val="2"/>
    </w:pPr>
    <w:rPr>
      <w:rFonts w:ascii="Microsoft YaHei" w:cs="Microsoft YaHei" w:eastAsia="Microsoft YaHei" w:hAnsi="Microsoft YaHei"/>
      <w:b/>
      <w:bCs/>
      <w:color w:val="0E7490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after="200" w:before="360"/>
      <w:outlineLvl w:val="3"/>
    </w:pPr>
    <w:rPr>
      <w:rFonts w:ascii="Microsoft YaHei" w:cs="Microsoft YaHei" w:eastAsia="Microsoft YaHei" w:hAnsi="Microsoft YaHei"/>
      <w:b/>
      <w:bCs/>
      <w:color w:val="0E7490"/>
      <w:sz w:val="24"/>
      <w:szCs w:val="24"/>
    </w:rPr>
  </w:style>
  <w:style xmlns:w="http://schemas.openxmlformats.org/wordprocessingml/2006/main" w:type="paragraph" w:styleId="TOC1">
    <w:name w:val="toc 1"/>
    <w:basedOn w:val="Normal"/>
    <w:uiPriority w:val="39"/>
    <w:pPr>
      <w:spacing w:before="120" w:after="0" w:line="360" w:lineRule="auto"/>
    </w:pPr>
    <w:rPr>
      <w:b/>
      <w:sz w:val="22"/>
      <w:szCs w:val="22"/>
    </w:rPr>
  </w:style>
  <w:style xmlns:w="http://schemas.openxmlformats.org/wordprocessingml/2006/main" w:type="paragraph" w:styleId="TOC2">
    <w:name w:val="toc 2"/>
    <w:basedOn w:val="Normal"/>
    <w:uiPriority w:val="39"/>
    <w:pPr>
      <w:spacing w:before="0" w:after="0" w:line="360" w:lineRule="auto"/>
      <w:ind w:left="420"/>
    </w:pPr>
    <w:rPr>
      <w:sz w:val="21"/>
      <w:szCs w:val="21"/>
    </w:rPr>
  </w:style>
  <w:style xmlns:w="http://schemas.openxmlformats.org/wordprocessingml/2006/main" w:type="paragraph" w:styleId="TOC3">
    <w:name w:val="toc 3"/>
    <w:basedOn w:val="Normal"/>
    <w:uiPriority w:val="39"/>
    <w:pPr>
      <w:spacing w:before="0" w:after="0" w:line="360" w:lineRule="auto"/>
      <w:ind w:left="840"/>
    </w:pPr>
    <w:rPr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ffe6b459d166de4d26b952b3e6cec9ba427897fc.png"/><Relationship Id="rId12" Type="http://schemas.openxmlformats.org/officeDocument/2006/relationships/image" Target="media/d1df02132b976283da355ac6535a4d9d02172691.png"/><Relationship Id="rId13" Type="http://schemas.openxmlformats.org/officeDocument/2006/relationships/image" Target="media/59cab1961180b70199ac3cc219ec2be6003a430b.png"/><Relationship Id="rId14" Type="http://schemas.openxmlformats.org/officeDocument/2006/relationships/image" Target="media/f5c6582ef304dbead4b005f6680a3a4c8d56522b.png"/><Relationship Id="rId15" Type="http://schemas.openxmlformats.org/officeDocument/2006/relationships/image" Target="media/20d1ff9988aa3a100b998ec789088e0cd460238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2026-09-11T16:51:59.105Z</dcterms:created>
  <dcterms:modified xsi:type="dcterms:W3CDTF">2026-09-11T16:51:59.106Z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