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400" w:line="20" w:lineRule="exact"/>
      </w:pP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b/>
          <w:bCs/>
          <w:color w:val="0B6E7E"/>
          <w:sz w:val="56"/>
          <w:szCs w:val="56"/>
        </w:rPr>
        <w:t xml:space="preserve">黔灵 · 贵州旅游 AI 伴游</w:t>
      </w:r>
    </w:p>
    <w:p>
      <w:pPr>
        <w:spacing w:before="160" w:line="20" w:lineRule="exact"/>
      </w:pP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00A5B5"/>
          <w:sz w:val="36"/>
          <w:szCs w:val="36"/>
        </w:rPr>
        <w:t xml:space="preserve">功能说明文档</w:t>
      </w:r>
    </w:p>
    <w:p>
      <w:pPr>
        <w:spacing w:before="400" w:line="20" w:lineRule="exact"/>
      </w:pP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A8C"/>
          <w:sz w:val="22"/>
          <w:szCs w:val="22"/>
        </w:rPr>
        <w:t xml:space="preserve">—— 基于 DeepSeek 大模型的智慧文旅交互系统 ——</w:t>
      </w:r>
    </w:p>
    <w:p>
      <w:pPr>
        <w:spacing w:before="1800" w:line="20" w:lineRule="exact"/>
      </w:pP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设计开发：祝刚</w:t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安顺学院 旅游管理学院</w:t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A8C"/>
          <w:sz w:val="22"/>
          <w:szCs w:val="22"/>
        </w:rPr>
        <w:t xml:space="preserve">2026 年 9 月</w:t>
      </w:r>
    </w:p>
    <w:p>
      <w:pPr>
        <w:sectPr>
          <w:pgSz w:w="12240" w:h="15840" w:orient="portrait"/>
          <w:pgMar w:top="1440" w:right="1440" w:bottom="1440" w:left="1440" w:header="708" w:footer="708" w:gutter="0"/>
          <w:pgNumType/>
          <w:cols w:num="1"/>
          <w:docGrid w:linePitch="360"/>
        </w:sectPr>
      </w:pPr>
    </w:p>
    <w:p>
      <w:pPr>
        <w:pStyle w:val="Heading1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6"/>
          <w:szCs w:val="36"/>
        </w:rPr>
        <w:t xml:space="preserve">一、项目概述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「黔灵 · 贵州旅游 AI 伴游」是面向贵州旅游目的地打造的科技感智慧旅行助手，已部署于个人教学站点（zgdgt.cn/guizhou-ai-guide/）。系统以 DeepSeek 大模型为对话引擎，融合数字人形象、语音双向交互、三基调智能回答与行程自动生成能力，为游客提供「问、答、听、看、规划」一体化的贵州旅行服务。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项目同时作为旅游管理专业的教学演示案例，覆盖智慧旅游、AIGC 应用、前端交互设计等课程知识点，可用于课堂演示与学生实训。</w:t>
      </w:r>
    </w:p>
    <w:p>
      <w:pPr>
        <w:pStyle w:val="Heading2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0"/>
          <w:szCs w:val="30"/>
        </w:rPr>
        <w:t xml:space="preserve">1.1 设计目标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服务贵州文旅：覆盖 9 个市州 12 个核心目的地，提供攻略、美食、交通、预算等全方位问答。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科技感体验：赛博星空粒子视觉 + SVG 数字人 + 语音双向交互，打造沉浸式 AI 伴游。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教学可复用：单文件纯静态架构，零后端依赖，便于课堂拆解讲解。</w:t>
      </w:r>
    </w:p>
    <w:p>
      <w:pPr>
        <w:pStyle w:val="Heading2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0"/>
          <w:szCs w:val="30"/>
        </w:rPr>
        <w:t xml:space="preserve">1.2 访问方式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访问地址：https://zgdgt.cn/guizhou-ai-guide/（个人网站首页「校园交互作品」栏目置有入口卡片）。页面启用访问保护，访问密码由教师在课堂上公布。</w:t>
      </w:r>
    </w:p>
    <w:p>
      <w:pPr>
        <w:spacing/>
        <w:jc w:val="center"/>
      </w:pPr>
      <w:r>
        <w:drawing>
          <wp:inline distT="0" distB="0" distL="0" distR="0">
            <wp:extent cx="4381500" cy="2743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A8C"/>
          <w:sz w:val="18"/>
          <w:szCs w:val="18"/>
        </w:rPr>
        <w:t xml:space="preserve">图 1  系统首页（赛博星空粒子背景）</w:t>
      </w:r>
    </w:p>
    <w:p>
      <w:pPr>
        <w:pStyle w:val="Heading1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6"/>
          <w:szCs w:val="36"/>
        </w:rPr>
        <w:t xml:space="preserve">二、核心功能</w:t>
      </w:r>
    </w:p>
    <w:p>
      <w:pPr>
        <w:pStyle w:val="Heading2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0"/>
          <w:szCs w:val="30"/>
        </w:rPr>
        <w:t xml:space="preserve">2.1 DeepSeek 大模型对话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系统接入 DeepSeek（deepseek-chat）对话接口，通过 System Prompt 注入「黔灵」导游人设与贵州核心目的地知识库（12 个景点、特色美食、交通气候概况），支持最近 6 轮上下文连续追问。每条 AI 回答下方标注「由 DeepSeek 大模型生成，票价/政策等请以景区官方为准」的合规提示。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可靠性设计：30 秒超时自动中止；API 异常时自动回退本地规则知识库（14 类高频问答），并在回答下方标注「本地知识库应答」，保证服务不中断。</w:t>
      </w:r>
    </w:p>
    <w:p>
      <w:pPr>
        <w:pStyle w:val="Heading2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0"/>
          <w:szCs w:val="30"/>
        </w:rPr>
        <w:t xml:space="preserve">2.2 三基调智能回答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每次提问，系统通过一次大模型调用返回三种不同基调的参考答案卡片，点击选用后定格为正式回答：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热情导游版：口语化、有感染力，适合大众游客；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专业顾问版：数据详实、方案严谨，含票价与时长明细；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极简速览版：60 字以内要点提炼，适合快速决策。</w:t>
      </w:r>
    </w:p>
    <w:p>
      <w:pPr>
        <w:spacing/>
        <w:jc w:val="center"/>
      </w:pPr>
      <w:r>
        <w:drawing>
          <wp:inline distT="0" distB="0" distL="0" distR="0">
            <wp:extent cx="4381500" cy="2743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A8C"/>
          <w:sz w:val="18"/>
          <w:szCs w:val="18"/>
        </w:rPr>
        <w:t xml:space="preserve">图 2  三基调回答卡片（点击选用）</w:t>
      </w:r>
    </w:p>
    <w:p>
      <w:pPr>
        <w:pStyle w:val="Heading2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0"/>
          <w:szCs w:val="30"/>
        </w:rPr>
        <w:t xml:space="preserve">2.3 数字人形象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参照课程 AI 助手数字人方案实现 SVG 矢量数字人，提供 4 款可切换形象：AI 向导、苗族阿妹（贵州主题原创设计）、熊猫导游、资深顾问。数字人具备三种状态动画：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待命（idle）：周期性眨眼；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思考（thinking）：三圆点跳动，状态栏提示「黔灵正在思考」；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讲解（speaking）：口型张合 + 光环扩散，与语音朗读严格同步；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聆听（listening）：红色光环扩散，提示用户正在录音。</w:t>
      </w:r>
    </w:p>
    <w:p>
      <w:pPr>
        <w:pStyle w:val="Heading2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0"/>
          <w:szCs w:val="30"/>
        </w:rPr>
        <w:t xml:space="preserve">2.4 语音双向交互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语音输入（ASR）：输入框左侧麦克风按钮，按住说话、松开发送，识别文字实时上屏；聆听前自动打断正在播放的朗读，防止自我收音。不支持的浏览器自动置灰提示。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语音输出（TTS）：基于浏览器原生语音合成，自动优选中文音色；选用基调回答后自动朗读，朗读前清洗 HTML 与 Markdown 符号；头部提供语音开关，关闭时立即打断。</w:t>
      </w:r>
    </w:p>
    <w:p>
      <w:pPr>
        <w:pStyle w:val="Heading2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0"/>
          <w:szCs w:val="30"/>
        </w:rPr>
        <w:t xml:space="preserve">2.5 对话框沉浸模式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点击「放大对话」进入全屏沉浸模式（毛玻璃遮罩 + 自适应高度），Esc 或「收起」退出，适合课堂投屏演示。</w:t>
      </w:r>
    </w:p>
    <w:p>
      <w:pPr>
        <w:spacing/>
        <w:jc w:val="center"/>
      </w:pPr>
      <w:r>
        <w:drawing>
          <wp:inline distT="0" distB="0" distL="0" distR="0">
            <wp:extent cx="4381500" cy="2743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A8C"/>
          <w:sz w:val="18"/>
          <w:szCs w:val="18"/>
        </w:rPr>
        <w:t xml:space="preserve">图 3  全屏对话模式 + 苗族阿妹数字人</w:t>
      </w:r>
    </w:p>
    <w:p>
      <w:pPr>
        <w:pStyle w:val="Heading2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0"/>
          <w:szCs w:val="30"/>
        </w:rPr>
        <w:t xml:space="preserve">2.6 目的地矩阵与智能行程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12 张精选目的地卡片覆盖贵州 9 个市州，每张含简介、标签与伴游贴士。智能行程生成器支持 3/5/7 天 × 山水奇观/民族风情/美食之旅/经典混搭 4 种主题，一键生成逐日时间轴路线。</w:t>
      </w:r>
    </w:p>
    <w:p>
      <w:pPr>
        <w:spacing/>
        <w:jc w:val="center"/>
      </w:pPr>
      <w:r>
        <w:drawing>
          <wp:inline distT="0" distB="0" distL="0" distR="0">
            <wp:extent cx="4381500" cy="2743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80"/>
        <w:jc w:val="center"/>
      </w:pPr>
      <w:r>
        <w:rPr>
          <w:rFonts w:ascii="Microsoft YaHei" w:cs="Microsoft YaHei" w:eastAsia="Microsoft YaHei" w:hAnsi="Microsoft YaHei"/>
          <w:color w:val="6B7A8C"/>
          <w:sz w:val="18"/>
          <w:szCs w:val="18"/>
        </w:rPr>
        <w:t xml:space="preserve">图 4  目的地卡片区</w:t>
      </w:r>
    </w:p>
    <w:p>
      <w:pPr>
        <w:pStyle w:val="Heading2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0"/>
          <w:szCs w:val="30"/>
        </w:rPr>
        <w:t xml:space="preserve">2.7 访问安全</w:t>
      </w: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页面启用访问密码门：密码经 SHA-256 哈希后校验，明文不出现在源码中；同一会话内解锁状态保持，关闭浏览器后需重新验证。</w:t>
      </w:r>
    </w:p>
    <w:p>
      <w:pPr>
        <w:pStyle w:val="Heading1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6"/>
          <w:szCs w:val="36"/>
        </w:rPr>
        <w:t xml:space="preserve">三、技术实现要点</w:t>
      </w:r>
    </w:p>
    <w:tbl>
      <w:tblPr>
        <w:tblW w:type="dxa" w:w="936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2B3440"/>
                <w:sz w:val="22"/>
                <w:szCs w:val="22"/>
              </w:rPr>
              <w:t xml:space="preserve">模块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2B3440"/>
                <w:sz w:val="22"/>
                <w:szCs w:val="22"/>
              </w:rPr>
              <w:t xml:space="preserve">技术方案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2B3440"/>
                <w:sz w:val="22"/>
                <w:szCs w:val="22"/>
              </w:rPr>
              <w:t xml:space="preserve">特点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整体架构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单文件 HTML/CSS/JS，nginx gzip_static 托管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零后端、零依赖，51KB 秒开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AI 对话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DeepSeek Chat Completions API，上下文窗口 6 轮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30s AbortController 超时 + 本地知识库降级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三基调输出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单次调用约束输出 JSON 三版本，前端解析渲染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解析失败自动回退纯文本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数字人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SVG 矢量 + CSS 动画状态机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4 形象切换，localStorage 记忆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语音输入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Web Speech API（SpeechRecognition）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按住说话、实时上屏、松手发送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语音输出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Web Speech API（speechSynthesis）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中文音色优选、口型同步</w:t>
            </w:r>
          </w:p>
        </w:tc>
      </w:tr>
      <w:tr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访问控制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SHA-256（crypto.subtle）哈希校验</w:t>
            </w:r>
          </w:p>
        </w:tc>
        <w:tc>
          <w:tcPr>
            <w:tcW w:type="dxa" w:w="3120"/>
            <w:tcBorders>
              <w:top w:val="single" w:color="D0D0D0" w:sz="1"/>
              <w:left w:val="single" w:color="D0D0D0" w:sz="1"/>
              <w:bottom w:val="single" w:color="D0D0D0" w:sz="1"/>
              <w:right w:val="single" w:color="D0D0D0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20"/>
            </w:pPr>
            <w:r>
              <w:rPr>
                <w:rFonts w:ascii="Microsoft YaHei" w:cs="Microsoft YaHei" w:eastAsia="Microsoft YaHei" w:hAnsi="Microsoft YaHei"/>
                <w:color w:val="2B3440"/>
                <w:sz w:val="22"/>
                <w:szCs w:val="22"/>
              </w:rPr>
              <w:t xml:space="preserve">无明文密码、会话级解锁</w:t>
            </w:r>
          </w:p>
        </w:tc>
      </w:tr>
    </w:tbl>
    <w:p>
      <w:pPr>
        <w:pStyle w:val="Heading1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6"/>
          <w:szCs w:val="36"/>
        </w:rPr>
        <w:t xml:space="preserve">四、教学应用场景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智慧旅游课程：演示 AIGC 在目的地营销与游客服务中的落地形态，讨论「AI 导游能否替代人工讲解」。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前端交互实训：拆解单文件应用的模块化组织、状态机设计与降级容错策略。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Prompt 工程教学：以「人设注入 + JSON 约束输出 + 合规免责」为案例讲解提示词设计。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田野调研辅助：学生实训中作为贵州目的地信息速查与行程草拟工具。</w:t>
      </w:r>
    </w:p>
    <w:p>
      <w:pPr>
        <w:pStyle w:val="Heading1"/>
        <w:keepNext/>
        <w:keepLines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0B6E7E"/>
          <w:sz w:val="36"/>
          <w:szCs w:val="36"/>
        </w:rPr>
        <w:t xml:space="preserve">五、使用说明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打开 https://zgdgt.cn/guizhou-ai-guide/，输入教师公布的访问密码进入。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直接输入问题，或按住麦克风按钮说话提问（首次使用需允许麦克风权限）。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在三种基调回答中点击选用最合适的一版，数字人将自动朗读。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  <w:color w:val="2B3440"/>
          <w:sz w:val="22"/>
          <w:szCs w:val="22"/>
        </w:rPr>
        <w:t xml:space="preserve">可切换数字人形象、开关语音、进入全屏模式；行程生成器在页面底部。</w:t>
      </w:r>
    </w:p>
    <w:p>
      <w:pPr>
        <w:spacing w:before="200" w:line="20" w:lineRule="exact"/>
      </w:pPr>
    </w:p>
    <w:p>
      <w:pPr>
        <w:spacing w:after="160" w:line="380"/>
      </w:pPr>
      <w:r>
        <w:rPr>
          <w:rFonts w:ascii="Microsoft YaHei" w:cs="Microsoft YaHei" w:eastAsia="Microsoft YaHei" w:hAnsi="Microsoft YaHei"/>
          <w:color w:val="6B7A8C"/>
          <w:sz w:val="18"/>
          <w:szCs w:val="18"/>
        </w:rPr>
        <w:t xml:space="preserve">文档版本：v1.0（2026-09）· 系统迭代记录：基础版 → DeepSeek 接入 → 密码门 → 数字人/三基调/放大 → TTS → 语音输入</w:t>
      </w:r>
    </w:p>
    <w:sectPr>
      <w:headerReference w:type="default" r:id="rId7"/>
      <w:footerReference w:type="default" r:id="rId8"/>
      <w:type w:val="nextPage"/>
      <w:pgSz w:w="12240" w:h="15840" w:orient="portrait"/>
      <w:pgMar w:top="1440" w:right="1440" w:bottom="1440" w:left="1440" w:header="708" w:footer="708" w:gutter="0"/>
      <w:pgNumType/>
      <w:cols w:num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60" w:line="380"/>
      <w:jc w:val="center"/>
    </w:pPr>
    <w:r>
      <w:rPr>
        <w:color w:val="999999"/>
        <w:sz w:val="18"/>
        <w:szCs w:val="18"/>
      </w:rPr>
      <w:t xml:space="preserve">— </w:t>
    </w:r>
    <w:r>
      <w:rPr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8"/>
        <w:szCs w:val="1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60" w:line="380"/>
      <w:jc w:val="center"/>
    </w:pPr>
    <w:r>
      <w:rPr>
        <w:rFonts w:ascii="Microsoft YaHei" w:cs="Microsoft YaHei" w:eastAsia="Microsoft YaHei" w:hAnsi="Microsoft YaHei"/>
        <w:color w:val="999999"/>
        <w:sz w:val="18"/>
        <w:szCs w:val="18"/>
      </w:rPr>
      <w:t xml:space="preserve">黔灵 · 贵州旅游 AI 伴游 功能说明文档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color w:val="2B3440"/>
        <w:sz w:val="22"/>
        <w:szCs w:val="22"/>
      </w:rPr>
    </w:rPrDefault>
    <w:pPrDefault>
      <w:pPr>
        <w:widowControl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200" w:before="360"/>
      <w:outlineLvl w:val="0"/>
    </w:pPr>
    <w:rPr>
      <w:rFonts w:ascii="Microsoft YaHei" w:cs="Microsoft YaHei" w:eastAsia="Microsoft YaHei" w:hAnsi="Microsoft YaHei"/>
      <w:b/>
      <w:bCs/>
      <w:color w:val="0B6E7E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200" w:before="360"/>
      <w:outlineLvl w:val="1"/>
    </w:pPr>
    <w:rPr>
      <w:rFonts w:ascii="Microsoft YaHei" w:cs="Microsoft YaHei" w:eastAsia="Microsoft YaHei" w:hAnsi="Microsoft YaHei"/>
      <w:b/>
      <w:bCs/>
      <w:color w:val="0B6E7E"/>
      <w:sz w:val="30"/>
      <w:szCs w:val="30"/>
    </w:rPr>
  </w:style>
  <w:style w:type="paragraph" w:styleId="Heading3">
    <w:name w:val="heading 3"/>
    <w:basedOn w:val="Normal"/>
    <w:next w:val="Normal"/>
    <w:qFormat/>
    <w:pPr>
      <w:keepNext/>
      <w:keepLines/>
      <w:spacing w:after="200" w:before="360"/>
      <w:outlineLvl w:val="2"/>
    </w:pPr>
    <w:rPr>
      <w:rFonts w:ascii="Microsoft YaHei" w:cs="Microsoft YaHei" w:eastAsia="Microsoft YaHei" w:hAnsi="Microsoft YaHei"/>
      <w:b/>
      <w:bCs/>
      <w:color w:val="0B6E7E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keepLines/>
      <w:spacing w:after="200" w:before="360"/>
      <w:outlineLvl w:val="3"/>
    </w:pPr>
    <w:rPr>
      <w:rFonts w:ascii="Microsoft YaHei" w:cs="Microsoft YaHei" w:eastAsia="Microsoft YaHei" w:hAnsi="Microsoft YaHei"/>
      <w:b/>
      <w:bCs/>
      <w:color w:val="0B6E7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3a4dae7d18382bef26566b89ef772a9334f5492.png"/><Relationship Id="rId10" Type="http://schemas.openxmlformats.org/officeDocument/2006/relationships/image" Target="media/4e91323b75a4777a6ffb3c523338e40b0f6d0df5.png"/><Relationship Id="rId11" Type="http://schemas.openxmlformats.org/officeDocument/2006/relationships/image" Target="media/ef225f8ff9d9dbdac39f09c0bec219a1357257de.png"/><Relationship Id="rId12" Type="http://schemas.openxmlformats.org/officeDocument/2006/relationships/image" Target="media/e4882f59e7ceaa33d9262854c52cf7354c14160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2026-09-06T14:07:51.621Z</dcterms:created>
  <dcterms:modified xsi:type="dcterms:W3CDTF">2026-09-06T14:07:51.621Z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